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-151130</wp:posOffset>
            </wp:positionV>
            <wp:extent cx="810895" cy="824230"/>
            <wp:effectExtent l="0" t="0" r="8255" b="13970"/>
            <wp:wrapThrough wrapText="bothSides">
              <wp:wrapPolygon>
                <wp:start x="0" y="0"/>
                <wp:lineTo x="0" y="20968"/>
                <wp:lineTo x="21312" y="20968"/>
                <wp:lineTo x="21312" y="0"/>
                <wp:lineTo x="0" y="0"/>
              </wp:wrapPolygon>
            </wp:wrapThrough>
            <wp:docPr id="1" name="图片 5" descr="Nanka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Nankai 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-28575</wp:posOffset>
            </wp:positionV>
            <wp:extent cx="2990215" cy="586105"/>
            <wp:effectExtent l="0" t="0" r="635" b="4445"/>
            <wp:wrapSquare wrapText="bothSides"/>
            <wp:docPr id="2" name="图片 2" descr="Corporate-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orporate-Logo_RG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/>
    <w:p>
      <w:pPr>
        <w:jc w:val="left"/>
      </w:pPr>
    </w:p>
    <w:p>
      <w:pPr>
        <w:jc w:val="left"/>
      </w:pPr>
    </w:p>
    <w:p>
      <w:pPr>
        <w:jc w:val="left"/>
      </w:pPr>
    </w:p>
    <w:p>
      <w:pPr>
        <w:ind w:left="1562" w:hanging="1562" w:hangingChars="300"/>
        <w:jc w:val="center"/>
        <w:rPr>
          <w:rFonts w:ascii="华文楷体" w:hAnsi="华文楷体" w:eastAsia="华文楷体"/>
          <w:b/>
          <w:sz w:val="52"/>
          <w:szCs w:val="52"/>
        </w:rPr>
      </w:pPr>
      <w:r>
        <w:rPr>
          <w:rFonts w:hint="eastAsia" w:ascii="华文楷体" w:hAnsi="华文楷体" w:eastAsia="华文楷体"/>
          <w:b/>
          <w:sz w:val="52"/>
          <w:szCs w:val="52"/>
        </w:rPr>
        <w:t>南开大学-香港</w:t>
      </w:r>
      <w:r>
        <w:rPr>
          <w:rFonts w:hint="eastAsia" w:ascii="华文楷体" w:hAnsi="华文楷体" w:eastAsia="华文楷体"/>
          <w:b/>
          <w:sz w:val="52"/>
          <w:szCs w:val="52"/>
          <w:lang w:val="en-US" w:eastAsia="zh-CN"/>
        </w:rPr>
        <w:t>理工</w:t>
      </w:r>
      <w:r>
        <w:rPr>
          <w:rFonts w:hint="eastAsia" w:ascii="华文楷体" w:hAnsi="华文楷体" w:eastAsia="华文楷体"/>
          <w:b/>
          <w:sz w:val="52"/>
          <w:szCs w:val="52"/>
        </w:rPr>
        <w:t>大学</w:t>
      </w:r>
    </w:p>
    <w:p>
      <w:pPr>
        <w:ind w:left="1441" w:hanging="1441" w:hangingChars="300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</w:rPr>
        <w:t>联合培养博士研究生项目实施办法</w:t>
      </w:r>
    </w:p>
    <w:p>
      <w:pPr>
        <w:jc w:val="left"/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</w:rPr>
      </w:pPr>
    </w:p>
    <w:p>
      <w:pPr>
        <w:rPr>
          <w:rFonts w:ascii="华文楷体" w:hAnsi="华文楷体" w:eastAsia="华文楷体"/>
          <w:sz w:val="36"/>
          <w:szCs w:val="36"/>
        </w:rPr>
      </w:pPr>
    </w:p>
    <w:p>
      <w:pPr>
        <w:jc w:val="center"/>
        <w:rPr>
          <w:rFonts w:ascii="华文楷体" w:hAnsi="华文楷体" w:eastAsia="华文楷体"/>
          <w:sz w:val="36"/>
          <w:szCs w:val="36"/>
        </w:rPr>
      </w:pPr>
    </w:p>
    <w:p>
      <w:pPr>
        <w:jc w:val="center"/>
        <w:rPr>
          <w:rFonts w:ascii="华文楷体" w:hAnsi="华文楷体" w:eastAsia="华文楷体"/>
          <w:sz w:val="36"/>
          <w:szCs w:val="36"/>
        </w:rPr>
      </w:pPr>
      <w:r>
        <w:rPr>
          <w:rFonts w:hint="eastAsia" w:ascii="华文楷体" w:hAnsi="华文楷体" w:eastAsia="华文楷体"/>
          <w:sz w:val="36"/>
          <w:szCs w:val="36"/>
        </w:rPr>
        <w:t>南开大学 研究生院</w:t>
      </w:r>
    </w:p>
    <w:p>
      <w:pPr>
        <w:ind w:firstLine="2880" w:firstLineChars="800"/>
        <w:rPr>
          <w:rFonts w:ascii="华文楷体" w:hAnsi="华文楷体" w:eastAsia="华文楷体"/>
          <w:sz w:val="36"/>
          <w:szCs w:val="36"/>
        </w:rPr>
      </w:pPr>
      <w:r>
        <w:rPr>
          <w:rFonts w:hint="eastAsia" w:ascii="华文楷体" w:hAnsi="华文楷体" w:eastAsia="华文楷体"/>
          <w:sz w:val="36"/>
          <w:szCs w:val="36"/>
        </w:rPr>
        <w:t>二</w:t>
      </w:r>
      <w:r>
        <w:rPr>
          <w:rFonts w:hint="eastAsia" w:ascii="华文楷体" w:hAnsi="华文楷体" w:eastAsia="华文楷体"/>
          <w:sz w:val="36"/>
          <w:szCs w:val="36"/>
          <w:lang w:val="en-US" w:eastAsia="zh-CN"/>
        </w:rPr>
        <w:t>〇</w:t>
      </w:r>
      <w:r>
        <w:rPr>
          <w:rFonts w:hint="eastAsia" w:ascii="华文楷体" w:hAnsi="华文楷体" w:eastAsia="华文楷体"/>
          <w:sz w:val="36"/>
          <w:szCs w:val="36"/>
        </w:rPr>
        <w:t>二</w:t>
      </w:r>
      <w:r>
        <w:rPr>
          <w:rFonts w:hint="eastAsia" w:ascii="华文楷体" w:hAnsi="华文楷体" w:eastAsia="华文楷体"/>
          <w:sz w:val="36"/>
          <w:szCs w:val="36"/>
          <w:lang w:val="en-US" w:eastAsia="zh-CN"/>
        </w:rPr>
        <w:t>二</w:t>
      </w:r>
      <w:r>
        <w:rPr>
          <w:rFonts w:hint="eastAsia" w:ascii="华文楷体" w:hAnsi="华文楷体" w:eastAsia="华文楷体"/>
          <w:sz w:val="36"/>
          <w:szCs w:val="36"/>
        </w:rPr>
        <w:t>年</w:t>
      </w:r>
      <w:r>
        <w:rPr>
          <w:rFonts w:hint="eastAsia" w:ascii="华文楷体" w:hAnsi="华文楷体" w:eastAsia="华文楷体"/>
          <w:sz w:val="36"/>
          <w:szCs w:val="36"/>
          <w:lang w:val="en-US" w:eastAsia="zh-CN"/>
        </w:rPr>
        <w:t>九</w:t>
      </w:r>
      <w:r>
        <w:rPr>
          <w:rFonts w:hint="eastAsia" w:ascii="华文楷体" w:hAnsi="华文楷体" w:eastAsia="华文楷体"/>
          <w:sz w:val="36"/>
          <w:szCs w:val="36"/>
        </w:rPr>
        <w:t>月</w:t>
      </w:r>
    </w:p>
    <w:p>
      <w:pPr>
        <w:pStyle w:val="14"/>
        <w:rPr>
          <w:rFonts w:cstheme="minorBidi"/>
          <w:color w:val="auto"/>
        </w:rPr>
      </w:pPr>
    </w:p>
    <w:p>
      <w:pPr>
        <w:pStyle w:val="14"/>
        <w:rPr>
          <w:rFonts w:cstheme="minorBidi"/>
          <w:color w:val="auto"/>
        </w:rPr>
      </w:pPr>
    </w:p>
    <w:p>
      <w:pPr>
        <w:snapToGrid w:val="0"/>
        <w:spacing w:line="312" w:lineRule="auto"/>
        <w:ind w:firstLine="420" w:firstLineChars="0"/>
        <w:rPr>
          <w:rFonts w:hint="eastAsia" w:ascii="FangSong_GB2312" w:hAnsi="FangSong_GB2312" w:eastAsia="FangSong_GB2312" w:cs="FangSong_GB2312"/>
          <w:b/>
          <w:bCs/>
          <w:sz w:val="28"/>
          <w:szCs w:val="28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sz w:val="28"/>
          <w:szCs w:val="28"/>
          <w:lang w:val="en-US" w:eastAsia="zh-CN"/>
        </w:rPr>
        <w:t>2023年南开大学-香港理工大学联合培养博士研究生项目实施办法</w:t>
      </w:r>
    </w:p>
    <w:p>
      <w:pPr>
        <w:pStyle w:val="14"/>
        <w:rPr>
          <w:rFonts w:ascii="华文仿宋" w:hAnsi="华文仿宋" w:eastAsia="华文仿宋"/>
          <w:color w:val="auto"/>
        </w:rPr>
      </w:pPr>
    </w:p>
    <w:p>
      <w:pPr>
        <w:numPr>
          <w:ilvl w:val="0"/>
          <w:numId w:val="1"/>
        </w:numPr>
        <w:snapToGrid w:val="0"/>
        <w:spacing w:line="312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项目简介</w:t>
      </w:r>
    </w:p>
    <w:p>
      <w:pPr>
        <w:snapToGrid w:val="0"/>
        <w:spacing w:line="312" w:lineRule="auto"/>
        <w:ind w:firstLine="420" w:firstLineChars="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 xml:space="preserve">香港理工大学（简称“理大”）是香港特别行政区历史最悠久的大学之一，理大最早可追溯至成立于1937年的香港官立高级工业学院，也是香港第一所由政府资助、提供工科教育的院校。经过八十余年的发展，凭借世界级的科研与教育，理大矢志成为全球顶尖高校。在2022年QS世界大学排行榜中，理大位居第66位。 </w:t>
      </w:r>
    </w:p>
    <w:p>
      <w:pPr>
        <w:snapToGrid w:val="0"/>
        <w:spacing w:line="312" w:lineRule="auto"/>
        <w:ind w:firstLine="420" w:firstLineChars="0"/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 xml:space="preserve">理大拥有强大的学术人员团队，其中诸多教授/讲座教授是其研究领域内的国际权威专家，提供具有国际竞争力的科研指导。理大的研究项目获政府与研究资助机构的大力支持，科研亮点包括：航天与航空工程、人工智能、大数据与金融科技、药物研发与医疗科学、智慧城市、可持续基建及环境、人文与先进材料。 </w:t>
      </w:r>
    </w:p>
    <w:p>
      <w:pPr>
        <w:snapToGrid w:val="0"/>
        <w:spacing w:line="312" w:lineRule="auto"/>
        <w:ind w:firstLine="420" w:firstLineChars="0"/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napToGrid w:val="0"/>
        <w:spacing w:line="312" w:lineRule="auto"/>
        <w:ind w:left="0" w:leftChars="0" w:firstLine="0" w:firstLineChars="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学科领域</w:t>
      </w:r>
    </w:p>
    <w:p>
      <w:pPr>
        <w:snapToGrid w:val="0"/>
        <w:spacing w:line="312" w:lineRule="auto"/>
        <w:ind w:firstLine="420" w:firstLineChars="0"/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两校已有博士学位授予权的学科领域。</w:t>
      </w:r>
    </w:p>
    <w:p>
      <w:pPr>
        <w:snapToGrid w:val="0"/>
        <w:spacing w:line="312" w:lineRule="auto"/>
        <w:ind w:firstLine="420" w:firstLineChars="0"/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napToGrid w:val="0"/>
        <w:spacing w:line="312" w:lineRule="auto"/>
        <w:ind w:left="0" w:leftChars="0" w:firstLine="0" w:firstLineChars="0"/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学习地点与住宿安排</w:t>
      </w:r>
    </w:p>
    <w:p>
      <w:pPr>
        <w:snapToGrid w:val="0"/>
        <w:spacing w:line="312" w:lineRule="auto"/>
        <w:ind w:firstLine="420" w:firstLineChars="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联合培养博士研究生</w:t>
      </w:r>
      <w:r>
        <w:rPr>
          <w:rFonts w:ascii="FangSong_GB2312" w:hAnsi="FangSong_GB2312" w:eastAsia="FangSong_GB2312" w:cs="FangSong_GB2312"/>
          <w:sz w:val="28"/>
          <w:szCs w:val="28"/>
        </w:rPr>
        <w:t>原则上</w:t>
      </w: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需于首年在</w:t>
      </w:r>
      <w:r>
        <w:rPr>
          <w:rFonts w:ascii="FangSong_GB2312" w:hAnsi="FangSong_GB2312" w:eastAsia="FangSong_GB2312" w:cs="FangSong_GB2312"/>
          <w:sz w:val="28"/>
          <w:szCs w:val="28"/>
        </w:rPr>
        <w:t>南开修读并完成公共必修课和学科基础课程</w:t>
      </w:r>
      <w:r>
        <w:rPr>
          <w:rFonts w:hint="eastAsia" w:ascii="FangSong_GB2312" w:hAnsi="FangSong_GB2312" w:eastAsia="FangSong_GB2312" w:cs="FangSong_GB2312"/>
          <w:sz w:val="28"/>
          <w:szCs w:val="28"/>
          <w:lang w:eastAsia="zh-CN"/>
        </w:rPr>
        <w:t>。第二、三年在理大按导师要求进行研究，完成申请确认博士生资格并取得注册确认。理大</w:t>
      </w: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允许</w:t>
      </w:r>
      <w:r>
        <w:rPr>
          <w:rFonts w:hint="eastAsia" w:ascii="FangSong_GB2312" w:hAnsi="FangSong_GB2312" w:eastAsia="FangSong_GB2312" w:cs="FangSong_GB2312"/>
          <w:sz w:val="28"/>
          <w:szCs w:val="28"/>
          <w:lang w:eastAsia="zh-CN"/>
        </w:rPr>
        <w:t>联合培养博士研究生通过课程学分转换满足理大课程学分要求。对转学分后仍缺失的必要课程，到理大后进行修读。第四年在南开大学进行学习和科学研究。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具体学制安排如下：</w:t>
      </w:r>
    </w:p>
    <w:tbl>
      <w:tblPr>
        <w:tblStyle w:val="7"/>
        <w:tblpPr w:leftFromText="180" w:rightFromText="180" w:vertAnchor="text" w:horzAnchor="page" w:tblpX="1886" w:tblpY="337"/>
        <w:tblOverlap w:val="never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6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429" w:type="dxa"/>
            <w:shd w:val="clear" w:color="auto" w:fill="C0C0C0"/>
            <w:noWrap w:val="0"/>
            <w:vAlign w:val="top"/>
          </w:tcPr>
          <w:p>
            <w:pPr>
              <w:snapToGrid w:val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学年</w:t>
            </w:r>
          </w:p>
        </w:tc>
        <w:tc>
          <w:tcPr>
            <w:tcW w:w="6010" w:type="dxa"/>
            <w:shd w:val="clear" w:color="auto" w:fill="C0C0C0"/>
            <w:noWrap w:val="0"/>
            <w:vAlign w:val="top"/>
          </w:tcPr>
          <w:p>
            <w:pPr>
              <w:snapToGrid w:val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学习地点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429" w:type="dxa"/>
            <w:noWrap w:val="0"/>
            <w:vAlign w:val="top"/>
          </w:tcPr>
          <w:p>
            <w:pPr>
              <w:snapToGrid w:val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第一学年</w:t>
            </w:r>
          </w:p>
        </w:tc>
        <w:tc>
          <w:tcPr>
            <w:tcW w:w="6010" w:type="dxa"/>
            <w:noWrap w:val="0"/>
            <w:vAlign w:val="top"/>
          </w:tcPr>
          <w:p>
            <w:pPr>
              <w:snapToGrid w:val="0"/>
              <w:spacing w:line="312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- 注册成为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南开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及理大的联合培养博士生</w:t>
            </w:r>
          </w:p>
          <w:p>
            <w:pPr>
              <w:snapToGrid w:val="0"/>
              <w:spacing w:line="312" w:lineRule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- 在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南开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进行课程学习和科学研究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29" w:type="dxa"/>
            <w:noWrap w:val="0"/>
            <w:vAlign w:val="top"/>
          </w:tcPr>
          <w:p>
            <w:pPr>
              <w:snapToGrid w:val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第二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、三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学年</w:t>
            </w:r>
          </w:p>
        </w:tc>
        <w:tc>
          <w:tcPr>
            <w:tcW w:w="6010" w:type="dxa"/>
            <w:noWrap w:val="0"/>
            <w:vAlign w:val="top"/>
          </w:tcPr>
          <w:p>
            <w:pPr>
              <w:snapToGrid w:val="0"/>
              <w:spacing w:line="312" w:lineRule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- 于理大学习两个学年及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取得注册确认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429" w:type="dxa"/>
            <w:noWrap w:val="0"/>
            <w:vAlign w:val="top"/>
          </w:tcPr>
          <w:p>
            <w:pPr>
              <w:snapToGrid w:val="0"/>
              <w:jc w:val="center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第四学年</w:t>
            </w:r>
          </w:p>
        </w:tc>
        <w:tc>
          <w:tcPr>
            <w:tcW w:w="6010" w:type="dxa"/>
            <w:noWrap w:val="0"/>
            <w:vAlign w:val="top"/>
          </w:tcPr>
          <w:p>
            <w:pPr>
              <w:snapToGrid w:val="0"/>
              <w:spacing w:line="312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- 于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南开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学习</w:t>
            </w:r>
            <w:r>
              <w:rPr>
                <w:rFonts w:hint="eastAsia" w:ascii="Microsoft JhengHei" w:hAnsi="Microsoft JhengHei" w:eastAsia="Microsoft JhengHei" w:cs="Microsoft JhengHei"/>
                <w:sz w:val="28"/>
                <w:szCs w:val="28"/>
              </w:rPr>
              <w:t>､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修读课程</w:t>
            </w:r>
            <w:r>
              <w:rPr>
                <w:rFonts w:hint="eastAsia" w:ascii="Microsoft JhengHei" w:hAnsi="Microsoft JhengHei" w:eastAsia="Microsoft JhengHei" w:cs="Microsoft JhengHei"/>
                <w:sz w:val="28"/>
                <w:szCs w:val="28"/>
              </w:rPr>
              <w:t>､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进行科研及撰写论文</w:t>
            </w:r>
          </w:p>
          <w:p>
            <w:pPr>
              <w:snapToGrid w:val="0"/>
              <w:spacing w:line="312" w:lineRule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-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答辩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方式和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地点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按双方协商后确定</w:t>
            </w:r>
          </w:p>
        </w:tc>
      </w:tr>
    </w:tbl>
    <w:p>
      <w:pPr>
        <w:snapToGrid w:val="0"/>
        <w:spacing w:before="156" w:beforeLines="50" w:after="156" w:afterLines="50" w:line="480" w:lineRule="exact"/>
        <w:ind w:firstLine="567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在南开研究学习期间的宿舍由南开大学提供，在理大研究学习期间由</w:t>
      </w:r>
      <w:r>
        <w:rPr>
          <w:rFonts w:ascii="FangSong_GB2312" w:hAnsi="FangSong_GB2312" w:eastAsia="FangSong_GB2312" w:cs="FangSong_GB2312"/>
          <w:sz w:val="28"/>
          <w:szCs w:val="28"/>
        </w:rPr>
        <w:t>理大提供协助，安排自费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入住学校宿舍或在校外自费住宿。</w:t>
      </w:r>
    </w:p>
    <w:p>
      <w:pPr>
        <w:pStyle w:val="14"/>
        <w:numPr>
          <w:ilvl w:val="0"/>
          <w:numId w:val="0"/>
        </w:numPr>
        <w:spacing w:line="0" w:lineRule="atLeast"/>
        <w:ind w:left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14"/>
        <w:numPr>
          <w:ilvl w:val="0"/>
          <w:numId w:val="1"/>
        </w:numPr>
        <w:spacing w:line="0" w:lineRule="atLeast"/>
        <w:ind w:left="0" w:leftChars="0" w:firstLine="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申请资格</w:t>
      </w:r>
    </w:p>
    <w:p>
      <w:pPr>
        <w:pStyle w:val="14"/>
        <w:numPr>
          <w:ilvl w:val="0"/>
          <w:numId w:val="2"/>
        </w:numPr>
        <w:spacing w:line="0" w:lineRule="atLeast"/>
        <w:ind w:left="0" w:leftChars="0"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我校2022级全日制非定向博士研究生。每学年的招生名额不超过20人；</w:t>
      </w:r>
    </w:p>
    <w:p>
      <w:pPr>
        <w:pStyle w:val="14"/>
        <w:numPr>
          <w:ilvl w:val="0"/>
          <w:numId w:val="2"/>
        </w:numPr>
        <w:spacing w:line="0" w:lineRule="atLeast"/>
        <w:ind w:left="0" w:leftChars="0"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已修课程成绩符合要求；</w:t>
      </w:r>
    </w:p>
    <w:p>
      <w:pPr>
        <w:pStyle w:val="14"/>
        <w:numPr>
          <w:ilvl w:val="0"/>
          <w:numId w:val="2"/>
        </w:numPr>
        <w:spacing w:line="0" w:lineRule="atLeast"/>
        <w:ind w:left="0" w:leftChars="0"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达到香港理工大学规定的最低英文水平要求：取得(1)托福(TOEFL)笔试总成绩达 550 分/托福网考总成绩达 80 分，或(2)雅思国际英语水平测试(IELTS) 总评级达6.5。个别院系可订立更高要求，详情请参阅</w: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instrText xml:space="preserve"> HYPERLINK "http://www51.polyu.edu.hk/eprospectus/rpg%23programme-list" </w:instrTex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http://www51.polyu.edu.hk/eprospectus/rpg#programme-list</w: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14"/>
        <w:numPr>
          <w:ilvl w:val="0"/>
          <w:numId w:val="2"/>
        </w:numPr>
        <w:spacing w:line="0" w:lineRule="atLeast"/>
        <w:ind w:left="0" w:leftChars="0"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托福和雅思成绩从考试日期算起有效期为两年, 成绩必须在提交申请时有效。</w:t>
      </w:r>
    </w:p>
    <w:p>
      <w:pPr>
        <w:pStyle w:val="14"/>
        <w:numPr>
          <w:ilvl w:val="0"/>
          <w:numId w:val="0"/>
        </w:numPr>
        <w:spacing w:line="0" w:lineRule="atLeast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14"/>
        <w:numPr>
          <w:ilvl w:val="0"/>
          <w:numId w:val="1"/>
        </w:numPr>
        <w:spacing w:line="0" w:lineRule="atLeast"/>
        <w:ind w:left="0" w:leftChars="0" w:firstLine="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申请程序</w:t>
      </w:r>
    </w:p>
    <w:p>
      <w:pPr>
        <w:pStyle w:val="14"/>
        <w:numPr>
          <w:ilvl w:val="0"/>
          <w:numId w:val="0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请符合申请资格的同学仔细阅读申请流程，招生申请需经南开和理大导师、相关院系及研究团队负责人审核。</w:t>
      </w:r>
    </w:p>
    <w:p>
      <w:pPr>
        <w:pStyle w:val="14"/>
        <w:numPr>
          <w:ilvl w:val="0"/>
          <w:numId w:val="0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（一）申请人需将以下材料</w:t>
      </w: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28"/>
          <w:szCs w:val="28"/>
          <w:lang w:val="en-US" w:eastAsia="zh-CN" w:bidi="ar-SA"/>
        </w:rPr>
        <w:t>复印件</w: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交至所在学院。由学院汇总后，于</w:t>
      </w: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2022年12月23日</w: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前上报研究生院。具体包括：</w:t>
      </w:r>
    </w:p>
    <w:p>
      <w:pPr>
        <w:pStyle w:val="14"/>
        <w:numPr>
          <w:ilvl w:val="0"/>
          <w:numId w:val="3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本科及硕士 (如适用) 学位证、毕业证（中英文件）；</w:t>
      </w:r>
    </w:p>
    <w:p>
      <w:pPr>
        <w:pStyle w:val="14"/>
        <w:numPr>
          <w:ilvl w:val="0"/>
          <w:numId w:val="3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本科及硕士（如适用）成绩单 (中英文件)；</w:t>
      </w:r>
    </w:p>
    <w:p>
      <w:pPr>
        <w:pStyle w:val="14"/>
        <w:numPr>
          <w:ilvl w:val="0"/>
          <w:numId w:val="3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附件一 《申请人名单》（电子版）。</w:t>
      </w:r>
    </w:p>
    <w:p>
      <w:pPr>
        <w:pStyle w:val="14"/>
        <w:numPr>
          <w:ilvl w:val="0"/>
          <w:numId w:val="0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（二）申请人登入理大入学申请系统eAdmission（</w: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instrText xml:space="preserve"> HYPERLINK "https://www38.polyu.edu.hk/eAdmission/index.do" </w:instrTex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https://www38.polyu.edu.hk/eAdmission/index.do</w: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），于</w:t>
      </w: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2023年4月底以前</w: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填妥网上申请及上传以下相关文件证明，并将</w:t>
      </w:r>
      <w:r>
        <w:rPr>
          <w:rFonts w:hint="eastAsia" w:ascii="FangSong_GB2312" w:hAnsi="FangSong_GB2312" w:eastAsia="FangSong_GB2312" w:cs="FangSong_GB2312"/>
          <w:b/>
          <w:bCs/>
          <w:color w:val="auto"/>
          <w:kern w:val="2"/>
          <w:sz w:val="28"/>
          <w:szCs w:val="28"/>
          <w:lang w:val="en-US" w:eastAsia="zh-CN" w:bidi="ar-SA"/>
        </w:rPr>
        <w:t>复印件</w: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上报研究生院。更多申请注意事项可查看</w: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instrText xml:space="preserve"> HYPERLINK "http://www51.polyu.edu.hk/eprospectus/rpg" </w:instrTex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http://www51.polyu.edu.hk/eprospectus/rpg</w: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14"/>
        <w:numPr>
          <w:ilvl w:val="0"/>
          <w:numId w:val="4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语言考试成绩单（托福或雅思，成绩必须在提交申请时有效）；</w:t>
      </w:r>
    </w:p>
    <w:p>
      <w:pPr>
        <w:pStyle w:val="14"/>
        <w:numPr>
          <w:ilvl w:val="0"/>
          <w:numId w:val="4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附件二 Research Proposal （研究计划）；</w:t>
      </w:r>
    </w:p>
    <w:p>
      <w:pPr>
        <w:pStyle w:val="14"/>
        <w:numPr>
          <w:ilvl w:val="0"/>
          <w:numId w:val="4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附件三 Study Plan（学习计划）。</w:t>
      </w:r>
    </w:p>
    <w:p>
      <w:pPr>
        <w:pStyle w:val="14"/>
        <w:spacing w:line="0" w:lineRule="atLeast"/>
        <w:ind w:firstLine="480" w:firstLineChars="200"/>
        <w:rPr>
          <w:rFonts w:ascii="华文仿宋" w:hAnsi="华文仿宋" w:eastAsia="华文仿宋"/>
          <w:color w:val="auto"/>
        </w:rPr>
      </w:pPr>
    </w:p>
    <w:p>
      <w:pPr>
        <w:pStyle w:val="14"/>
        <w:numPr>
          <w:ilvl w:val="0"/>
          <w:numId w:val="1"/>
        </w:numPr>
        <w:spacing w:line="0" w:lineRule="atLeast"/>
        <w:ind w:left="0" w:leftChars="0" w:firstLine="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highlight w:val="none"/>
          <w:lang w:val="en-US" w:eastAsia="zh-CN" w:bidi="ar-SA"/>
        </w:rPr>
        <w:t>项目录取</w:t>
      </w:r>
    </w:p>
    <w:p>
      <w:pPr>
        <w:pStyle w:val="14"/>
        <w:numPr>
          <w:ilvl w:val="0"/>
          <w:numId w:val="0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两校将对申请人的材料进行审核并择优遴选。若有需要，亦会安排学生面试。录取结果将于 2023年 5 月底前书面通知申请者。</w:t>
      </w:r>
    </w:p>
    <w:p>
      <w:pPr>
        <w:pStyle w:val="14"/>
        <w:numPr>
          <w:ilvl w:val="0"/>
          <w:numId w:val="0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tbl>
      <w:tblPr>
        <w:tblStyle w:val="7"/>
        <w:tblpPr w:leftFromText="180" w:rightFromText="180" w:vertAnchor="text" w:horzAnchor="page" w:tblpX="1879" w:tblpY="196"/>
        <w:tblOverlap w:val="never"/>
        <w:tblW w:w="84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3421"/>
        <w:gridCol w:w="3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97" w:type="dxa"/>
          </w:tcPr>
          <w:p>
            <w:pPr>
              <w:pStyle w:val="18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21" w:type="dxa"/>
          </w:tcPr>
          <w:p>
            <w:pPr>
              <w:pStyle w:val="18"/>
              <w:ind w:left="155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pacing w:val="-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eastAsiaTheme="minorEastAsia"/>
                <w:spacing w:val="-2"/>
                <w:sz w:val="24"/>
                <w:szCs w:val="24"/>
                <w:u w:val="single"/>
              </w:rPr>
              <w:t>南开</w:t>
            </w:r>
            <w:r>
              <w:rPr>
                <w:rFonts w:eastAsiaTheme="minorEastAsia"/>
                <w:spacing w:val="-2"/>
                <w:sz w:val="24"/>
                <w:szCs w:val="24"/>
                <w:u w:val="single"/>
              </w:rPr>
              <w:t>大学研究生院</w:t>
            </w:r>
          </w:p>
        </w:tc>
        <w:tc>
          <w:tcPr>
            <w:tcW w:w="3729" w:type="dxa"/>
          </w:tcPr>
          <w:p>
            <w:pPr>
              <w:pStyle w:val="18"/>
              <w:ind w:left="106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pacing w:val="-56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Theme="minorEastAsia"/>
                <w:spacing w:val="-2"/>
                <w:sz w:val="24"/>
                <w:szCs w:val="24"/>
                <w:u w:val="single"/>
              </w:rPr>
              <w:t>香港理工大学研究生院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297" w:type="dxa"/>
          </w:tcPr>
          <w:p>
            <w:pPr>
              <w:pStyle w:val="18"/>
              <w:tabs>
                <w:tab w:val="left" w:pos="662"/>
              </w:tabs>
              <w:spacing w:before="7"/>
              <w:ind w:right="152"/>
              <w:jc w:val="righ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电</w:t>
            </w:r>
            <w:r>
              <w:rPr>
                <w:rFonts w:eastAsiaTheme="minorEastAsia"/>
                <w:sz w:val="24"/>
                <w:szCs w:val="24"/>
              </w:rPr>
              <w:tab/>
            </w:r>
            <w:r>
              <w:rPr>
                <w:rFonts w:eastAsiaTheme="minorEastAsia"/>
                <w:spacing w:val="-3"/>
                <w:sz w:val="24"/>
                <w:szCs w:val="24"/>
              </w:rPr>
              <w:t>话</w:t>
            </w:r>
            <w:r>
              <w:rPr>
                <w:rFonts w:eastAsiaTheme="minorEastAsia"/>
                <w:sz w:val="24"/>
                <w:szCs w:val="24"/>
              </w:rPr>
              <w:t>:</w:t>
            </w:r>
          </w:p>
        </w:tc>
        <w:tc>
          <w:tcPr>
            <w:tcW w:w="3421" w:type="dxa"/>
          </w:tcPr>
          <w:p>
            <w:pPr>
              <w:pStyle w:val="18"/>
              <w:spacing w:before="78"/>
              <w:ind w:left="155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23502033</w:t>
            </w:r>
          </w:p>
        </w:tc>
        <w:tc>
          <w:tcPr>
            <w:tcW w:w="3729" w:type="dxa"/>
          </w:tcPr>
          <w:p>
            <w:pPr>
              <w:pStyle w:val="18"/>
              <w:spacing w:before="78"/>
              <w:ind w:left="106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(852) 3400-3635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97" w:type="dxa"/>
          </w:tcPr>
          <w:p>
            <w:pPr>
              <w:pStyle w:val="18"/>
              <w:spacing w:before="30"/>
              <w:ind w:right="152"/>
              <w:jc w:val="righ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传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eastAsiaTheme="minorEastAsia"/>
                <w:sz w:val="24"/>
                <w:szCs w:val="24"/>
              </w:rPr>
              <w:t>真:</w:t>
            </w:r>
          </w:p>
        </w:tc>
        <w:tc>
          <w:tcPr>
            <w:tcW w:w="3421" w:type="dxa"/>
          </w:tcPr>
          <w:p>
            <w:pPr>
              <w:pStyle w:val="18"/>
              <w:spacing w:before="101"/>
              <w:ind w:left="155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85358024</w:t>
            </w:r>
          </w:p>
        </w:tc>
        <w:tc>
          <w:tcPr>
            <w:tcW w:w="3729" w:type="dxa"/>
          </w:tcPr>
          <w:p>
            <w:pPr>
              <w:pStyle w:val="18"/>
              <w:spacing w:before="101"/>
              <w:ind w:left="106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(852) 3400-2980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97" w:type="dxa"/>
          </w:tcPr>
          <w:p>
            <w:pPr>
              <w:pStyle w:val="18"/>
              <w:spacing w:before="30"/>
              <w:ind w:right="152"/>
              <w:jc w:val="righ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电子信箱:</w:t>
            </w:r>
          </w:p>
        </w:tc>
        <w:tc>
          <w:tcPr>
            <w:tcW w:w="3421" w:type="dxa"/>
          </w:tcPr>
          <w:p>
            <w:pPr>
              <w:pStyle w:val="18"/>
              <w:spacing w:before="98"/>
              <w:ind w:left="155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instrText xml:space="preserve"> HYPERLINK "mailto:lichangjuan@nankai.edu.cn" </w:instrTex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11"/>
                <w:rFonts w:hint="eastAsia" w:eastAsiaTheme="minorEastAsia"/>
                <w:sz w:val="24"/>
                <w:szCs w:val="24"/>
                <w:lang w:val="en-US" w:eastAsia="zh-CN"/>
              </w:rPr>
              <w:t>lichangjuan@nankai.edu.cn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729" w:type="dxa"/>
          </w:tcPr>
          <w:p>
            <w:pPr>
              <w:pStyle w:val="18"/>
              <w:spacing w:before="98"/>
              <w:ind w:left="1062"/>
              <w:rPr>
                <w:rFonts w:eastAsiaTheme="minorEastAsia"/>
                <w:color w:val="0000FF"/>
                <w:sz w:val="24"/>
                <w:szCs w:val="24"/>
                <w:u w:val="single" w:color="0000FF"/>
              </w:rPr>
            </w:pPr>
            <w:r>
              <w:rPr>
                <w:rFonts w:eastAsiaTheme="minorEastAsia"/>
                <w:sz w:val="24"/>
                <w:szCs w:val="24"/>
              </w:rPr>
              <w:t>关于网申问题，请联系：</w:t>
            </w:r>
            <w:r>
              <w:fldChar w:fldCharType="begin"/>
            </w:r>
            <w:r>
              <w:instrText xml:space="preserve"> HYPERLINK "mailto:ar.rpg@polyu.edu.hk" </w:instrText>
            </w:r>
            <w:r>
              <w:fldChar w:fldCharType="separate"/>
            </w:r>
            <w:r>
              <w:rPr>
                <w:rStyle w:val="11"/>
                <w:rFonts w:eastAsiaTheme="minorEastAsia"/>
                <w:sz w:val="24"/>
                <w:szCs w:val="24"/>
              </w:rPr>
              <w:t>ar.rpg@polyu.edu.hk</w:t>
            </w:r>
            <w:r>
              <w:rPr>
                <w:rStyle w:val="11"/>
                <w:rFonts w:eastAsiaTheme="minorEastAsia"/>
                <w:sz w:val="24"/>
                <w:szCs w:val="24"/>
              </w:rPr>
              <w:fldChar w:fldCharType="end"/>
            </w:r>
            <w:r>
              <w:rPr>
                <w:rFonts w:eastAsiaTheme="minorEastAsia"/>
                <w:color w:val="0000FF"/>
                <w:sz w:val="24"/>
                <w:szCs w:val="24"/>
                <w:u w:val="single" w:color="0000FF"/>
              </w:rPr>
              <w:t xml:space="preserve"> </w:t>
            </w:r>
          </w:p>
          <w:p>
            <w:pPr>
              <w:pStyle w:val="18"/>
              <w:spacing w:before="98"/>
              <w:ind w:left="1062"/>
              <w:rPr>
                <w:rFonts w:eastAsiaTheme="minorEastAsia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297" w:type="dxa"/>
          </w:tcPr>
          <w:p>
            <w:pPr>
              <w:pStyle w:val="18"/>
              <w:spacing w:before="29"/>
              <w:ind w:right="632"/>
              <w:jc w:val="righ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网址:</w:t>
            </w:r>
          </w:p>
        </w:tc>
        <w:tc>
          <w:tcPr>
            <w:tcW w:w="3421" w:type="dxa"/>
          </w:tcPr>
          <w:p>
            <w:pPr>
              <w:pStyle w:val="18"/>
              <w:spacing w:before="99"/>
              <w:ind w:left="155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</w:rPr>
              <w:fldChar w:fldCharType="begin"/>
            </w:r>
            <w:r>
              <w:rPr>
                <w:rFonts w:hint="eastAsia" w:eastAsiaTheme="minorEastAsia"/>
                <w:sz w:val="24"/>
                <w:szCs w:val="24"/>
              </w:rPr>
              <w:instrText xml:space="preserve"> HYPERLINK "https://graduate.nankai.edu.cn/" </w:instrText>
            </w:r>
            <w:r>
              <w:rPr>
                <w:rFonts w:hint="eastAsia" w:eastAsiaTheme="minorEastAsia"/>
                <w:sz w:val="24"/>
                <w:szCs w:val="24"/>
              </w:rPr>
              <w:fldChar w:fldCharType="separate"/>
            </w:r>
            <w:r>
              <w:rPr>
                <w:rStyle w:val="11"/>
                <w:rFonts w:hint="eastAsia" w:eastAsiaTheme="minorEastAsia"/>
                <w:sz w:val="24"/>
                <w:szCs w:val="24"/>
              </w:rPr>
              <w:t>https://graduate.nankai.edu.cn/</w:t>
            </w:r>
            <w:r>
              <w:rPr>
                <w:rFonts w:hint="eastAsia" w:eastAsiaTheme="minorEastAsia"/>
                <w:sz w:val="24"/>
                <w:szCs w:val="24"/>
              </w:rPr>
              <w:fldChar w:fldCharType="end"/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729" w:type="dxa"/>
          </w:tcPr>
          <w:p>
            <w:pPr>
              <w:pStyle w:val="18"/>
              <w:spacing w:before="99"/>
              <w:ind w:left="1062"/>
              <w:rPr>
                <w:rFonts w:eastAsiaTheme="minorEastAsia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"https://www.polyu.edu.hk/gs/prospective-students/joint-phd-programmes-leading-to-dual-awards/" </w:instrText>
            </w:r>
            <w:r>
              <w:fldChar w:fldCharType="separate"/>
            </w:r>
            <w:r>
              <w:rPr>
                <w:rStyle w:val="10"/>
                <w:rFonts w:eastAsiaTheme="minorEastAsia"/>
                <w:sz w:val="24"/>
                <w:szCs w:val="24"/>
              </w:rPr>
              <w:t>https://www.polyu.edu.hk/gs/prospective-students/joint-phd-programmes-leading-to-dual-awards/</w:t>
            </w:r>
            <w:r>
              <w:rPr>
                <w:rStyle w:val="11"/>
                <w:rFonts w:eastAsiaTheme="minorEastAsia"/>
                <w:sz w:val="24"/>
                <w:szCs w:val="24"/>
              </w:rPr>
              <w:fldChar w:fldCharType="end"/>
            </w:r>
          </w:p>
        </w:tc>
      </w:tr>
    </w:tbl>
    <w:p>
      <w:pPr>
        <w:pStyle w:val="14"/>
        <w:numPr>
          <w:ilvl w:val="0"/>
          <w:numId w:val="0"/>
        </w:numPr>
        <w:spacing w:line="0" w:lineRule="atLeast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14"/>
        <w:numPr>
          <w:ilvl w:val="0"/>
          <w:numId w:val="1"/>
        </w:numPr>
        <w:spacing w:line="0" w:lineRule="atLeast"/>
        <w:ind w:left="0" w:leftChars="0" w:firstLine="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学位授予</w:t>
      </w:r>
    </w:p>
    <w:p>
      <w:pPr>
        <w:pStyle w:val="14"/>
        <w:numPr>
          <w:ilvl w:val="0"/>
          <w:numId w:val="0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联合培养博士研究生，符合南开大学博士学位授予条件，获颁南开大学博士研究生毕业证书和博士学位证书；符合理大博士学位授予条件，获颁理大博士学位证书。（注：理大颁发的学位证书将注明“此哲学博士学位由香港理工大学及南开大学合办”）。</w:t>
      </w:r>
    </w:p>
    <w:p>
      <w:pPr>
        <w:pStyle w:val="14"/>
        <w:numPr>
          <w:ilvl w:val="0"/>
          <w:numId w:val="0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14"/>
        <w:numPr>
          <w:ilvl w:val="0"/>
          <w:numId w:val="1"/>
        </w:numPr>
        <w:spacing w:line="0" w:lineRule="atLeast"/>
        <w:ind w:left="0" w:leftChars="0" w:firstLine="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费用及奖学金说明</w:t>
      </w:r>
    </w:p>
    <w:p>
      <w:pPr>
        <w:pStyle w:val="14"/>
        <w:numPr>
          <w:ilvl w:val="0"/>
          <w:numId w:val="0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联合培养的博士研究生在南开大学学习期间，其学费及研究经费按照南开大学有关规定办理。学生在南开大学学习期间由南开大学发放津贴，理大停发奖学金。</w:t>
      </w:r>
    </w:p>
    <w:p>
      <w:pPr>
        <w:pStyle w:val="14"/>
        <w:numPr>
          <w:ilvl w:val="0"/>
          <w:numId w:val="0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在理大学习期间, 按理大有关规定缴纳学费。除了学费, 学生须支付其他费用包括考试费 (提交毕业论文时缴交)、延读学费 (于理大一般修读年期结束时仍未提交毕业论文, 学生须缴交此费用以延续其学业)。在理大学习时, 每名联合培养博士生均按照理大规定发放助学金。关于在理大学习期间的奖学金和学费办理情况，请参阅：</w: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instrText xml:space="preserve"> HYPERLINK "https://www.polyu.edu.hk/gs/prospective-students/joint-phd-programmes-leading-to-dual-awards/" </w:instrTex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https://www.polyu.edu.hk/gs/prospective-students/joint-phd-programmes-leading-to-dual-awards/</w:t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14"/>
        <w:numPr>
          <w:ilvl w:val="0"/>
          <w:numId w:val="0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14"/>
        <w:numPr>
          <w:ilvl w:val="0"/>
          <w:numId w:val="1"/>
        </w:numPr>
        <w:spacing w:line="0" w:lineRule="atLeast"/>
        <w:ind w:left="0" w:leftChars="0" w:firstLine="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操作日程（注：此操作日程为暂定方案，如有变化，请以学校通知为准）</w:t>
      </w:r>
    </w:p>
    <w:tbl>
      <w:tblPr>
        <w:tblStyle w:val="7"/>
        <w:tblpPr w:leftFromText="180" w:rightFromText="180" w:vertAnchor="text" w:horzAnchor="page" w:tblpX="1411" w:tblpY="361"/>
        <w:tblOverlap w:val="never"/>
        <w:tblW w:w="9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5547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时间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工作内容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落实单位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2022.9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南开研究生院向学院发布招生实施办法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2022.9-2023.4月底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学生联系理大导师、提交网申阶段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 w:themeFill="accent2" w:themeFillTint="99"/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2022.12.23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 w:themeFill="accent2" w:themeFillTint="99"/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截止申请！</w:t>
            </w:r>
          </w:p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学院将汇总学生材料及名单上报给研究生院，进行学生申报材料的审核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 w:themeFill="accent2" w:themeFillTint="99"/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ind w:left="0" w:leftChars="0" w:firstLine="0" w:firstLineChars="0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2023.1-4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理大审核申请材料，向符合条件的申请人发放录取通知。</w:t>
            </w:r>
          </w:p>
          <w:p>
            <w:pPr>
              <w:pStyle w:val="14"/>
              <w:numPr>
                <w:ilvl w:val="0"/>
                <w:numId w:val="0"/>
              </w:numPr>
              <w:spacing w:line="0" w:lineRule="atLeast"/>
              <w:ind w:left="0" w:leftChars="0" w:firstLine="0" w:firstLineChars="0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获得录取的申请人需完成以下手续：在录取通知书规定的缴费期限前通过eAdmission确认接受录取并结算报名费；填妥的签证申请表，连同所需的证明文件，通过理大教务处递交香港入境事务处。 申请学生签证指南可从网上的录取通知下载。  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ind w:left="0" w:leftChars="0" w:firstLine="0" w:firstLineChars="0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学生、理大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ind w:left="0" w:leftChars="0" w:firstLine="0" w:firstLineChars="0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2023.4.28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ind w:left="0" w:leftChars="0" w:firstLine="0" w:firstLineChars="0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网申截止！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ind w:left="0" w:leftChars="0" w:firstLine="0" w:firstLineChars="0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2023.6-8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获录取的学生将通过理大教务处的特快专递，收到香港入境事务处签发的签注 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学生、理大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2023.8.1-8.27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获录取学生可按网上录取通知书上的指示进行网上课程注册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2023.9.1</w:t>
            </w:r>
          </w:p>
        </w:tc>
        <w:tc>
          <w:tcPr>
            <w:tcW w:w="5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2023/24学年开始，新生向理大报道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0"/>
              </w:numPr>
              <w:spacing w:line="0" w:lineRule="atLeast"/>
              <w:rPr>
                <w:rFonts w:hint="default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2"/>
                <w:sz w:val="28"/>
                <w:szCs w:val="28"/>
                <w:lang w:val="en-US" w:eastAsia="zh-CN" w:bidi="ar-SA"/>
              </w:rPr>
              <w:t>学生、理大</w:t>
            </w:r>
          </w:p>
        </w:tc>
      </w:tr>
    </w:tbl>
    <w:p>
      <w:pPr>
        <w:pStyle w:val="14"/>
        <w:numPr>
          <w:ilvl w:val="0"/>
          <w:numId w:val="0"/>
        </w:numPr>
        <w:spacing w:line="0" w:lineRule="atLeast"/>
        <w:ind w:firstLine="420" w:firstLineChars="0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pStyle w:val="14"/>
        <w:spacing w:line="0" w:lineRule="atLeast"/>
        <w:rPr>
          <w:rFonts w:ascii="华文仿宋" w:hAnsi="华文仿宋" w:eastAsia="华文仿宋"/>
        </w:rPr>
      </w:pPr>
    </w:p>
    <w:p>
      <w:pPr>
        <w:pStyle w:val="14"/>
        <w:spacing w:line="0" w:lineRule="atLeast"/>
        <w:rPr>
          <w:rFonts w:ascii="华文仿宋" w:hAnsi="华文仿宋" w:eastAsia="华文仿宋"/>
        </w:rPr>
      </w:pPr>
    </w:p>
    <w:p>
      <w:pPr>
        <w:pStyle w:val="14"/>
        <w:spacing w:line="0" w:lineRule="atLeast"/>
        <w:rPr>
          <w:rFonts w:ascii="华文仿宋" w:hAnsi="华文仿宋" w:eastAsia="华文仿宋"/>
        </w:rPr>
      </w:pPr>
    </w:p>
    <w:p>
      <w:pPr>
        <w:pStyle w:val="14"/>
        <w:numPr>
          <w:ilvl w:val="0"/>
          <w:numId w:val="0"/>
        </w:numPr>
        <w:spacing w:line="0" w:lineRule="atLeast"/>
        <w:jc w:val="right"/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>研究生院</w:t>
      </w:r>
    </w:p>
    <w:p>
      <w:pPr>
        <w:pStyle w:val="14"/>
        <w:numPr>
          <w:ilvl w:val="0"/>
          <w:numId w:val="0"/>
        </w:numPr>
        <w:spacing w:line="0" w:lineRule="atLeast"/>
        <w:jc w:val="right"/>
        <w:rPr>
          <w:rFonts w:hint="default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color w:val="auto"/>
          <w:kern w:val="2"/>
          <w:sz w:val="28"/>
          <w:szCs w:val="28"/>
          <w:lang w:val="en-US" w:eastAsia="zh-CN" w:bidi="ar-SA"/>
        </w:rPr>
        <w:t xml:space="preserve">                            2022年9月</w:t>
      </w:r>
    </w:p>
    <w:sectPr>
      <w:footerReference r:id="rId3" w:type="default"/>
      <w:pgSz w:w="11906" w:h="16838"/>
      <w:pgMar w:top="1440" w:right="1416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96263451"/>
      <w:docPartObj>
        <w:docPartGallery w:val="autotext"/>
      </w:docPartObj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15552"/>
    <w:multiLevelType w:val="singleLevel"/>
    <w:tmpl w:val="8B515552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98EB7544"/>
    <w:multiLevelType w:val="singleLevel"/>
    <w:tmpl w:val="98EB754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203043E"/>
    <w:multiLevelType w:val="singleLevel"/>
    <w:tmpl w:val="E203043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02FB71F7"/>
    <w:multiLevelType w:val="singleLevel"/>
    <w:tmpl w:val="02FB71F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k4ZjNkNzQzNDAzNzA0ZDk5YTFiZjRhMzAzMzQ4M2YifQ=="/>
  </w:docVars>
  <w:rsids>
    <w:rsidRoot w:val="00172A27"/>
    <w:rsid w:val="00001F05"/>
    <w:rsid w:val="00024FFE"/>
    <w:rsid w:val="0005780D"/>
    <w:rsid w:val="00092890"/>
    <w:rsid w:val="000A7263"/>
    <w:rsid w:val="000E38CF"/>
    <w:rsid w:val="0013492F"/>
    <w:rsid w:val="001457D8"/>
    <w:rsid w:val="00190CD7"/>
    <w:rsid w:val="0019269C"/>
    <w:rsid w:val="001A271B"/>
    <w:rsid w:val="00214615"/>
    <w:rsid w:val="00257EC6"/>
    <w:rsid w:val="00287A93"/>
    <w:rsid w:val="002A073D"/>
    <w:rsid w:val="002A5CF6"/>
    <w:rsid w:val="002A6256"/>
    <w:rsid w:val="002D7A54"/>
    <w:rsid w:val="0030751F"/>
    <w:rsid w:val="0030763A"/>
    <w:rsid w:val="00343E84"/>
    <w:rsid w:val="00381D0E"/>
    <w:rsid w:val="00391983"/>
    <w:rsid w:val="003B26E1"/>
    <w:rsid w:val="003B433C"/>
    <w:rsid w:val="003D6C6D"/>
    <w:rsid w:val="0042543A"/>
    <w:rsid w:val="0042696F"/>
    <w:rsid w:val="0046062C"/>
    <w:rsid w:val="00462C0A"/>
    <w:rsid w:val="00462D61"/>
    <w:rsid w:val="00467B33"/>
    <w:rsid w:val="0047647E"/>
    <w:rsid w:val="004A7D99"/>
    <w:rsid w:val="004C6A55"/>
    <w:rsid w:val="004E77D3"/>
    <w:rsid w:val="00520916"/>
    <w:rsid w:val="005534A1"/>
    <w:rsid w:val="00593A51"/>
    <w:rsid w:val="00596E4E"/>
    <w:rsid w:val="005C2E55"/>
    <w:rsid w:val="005C418B"/>
    <w:rsid w:val="005D13F0"/>
    <w:rsid w:val="005D26B0"/>
    <w:rsid w:val="005D5010"/>
    <w:rsid w:val="005D5EEB"/>
    <w:rsid w:val="005F5169"/>
    <w:rsid w:val="00602EDB"/>
    <w:rsid w:val="00625BFE"/>
    <w:rsid w:val="0066600E"/>
    <w:rsid w:val="0069567C"/>
    <w:rsid w:val="006D6805"/>
    <w:rsid w:val="006E3A92"/>
    <w:rsid w:val="006E4E6E"/>
    <w:rsid w:val="006E7A1B"/>
    <w:rsid w:val="006F0FB6"/>
    <w:rsid w:val="006F4E35"/>
    <w:rsid w:val="006F6845"/>
    <w:rsid w:val="007011B5"/>
    <w:rsid w:val="00737528"/>
    <w:rsid w:val="00740C52"/>
    <w:rsid w:val="0075107B"/>
    <w:rsid w:val="007536A4"/>
    <w:rsid w:val="00762824"/>
    <w:rsid w:val="00772857"/>
    <w:rsid w:val="00782F04"/>
    <w:rsid w:val="007B57B2"/>
    <w:rsid w:val="007D3BB8"/>
    <w:rsid w:val="007E0DB3"/>
    <w:rsid w:val="007E7878"/>
    <w:rsid w:val="007F0665"/>
    <w:rsid w:val="007F1959"/>
    <w:rsid w:val="007F3199"/>
    <w:rsid w:val="008332E6"/>
    <w:rsid w:val="00845EDC"/>
    <w:rsid w:val="00846648"/>
    <w:rsid w:val="008763CA"/>
    <w:rsid w:val="0089577C"/>
    <w:rsid w:val="008A0216"/>
    <w:rsid w:val="008A64A5"/>
    <w:rsid w:val="008B1235"/>
    <w:rsid w:val="008B7598"/>
    <w:rsid w:val="008B7CDF"/>
    <w:rsid w:val="008F03CC"/>
    <w:rsid w:val="00903D86"/>
    <w:rsid w:val="009574B4"/>
    <w:rsid w:val="0097416B"/>
    <w:rsid w:val="00985408"/>
    <w:rsid w:val="0098713A"/>
    <w:rsid w:val="009A68D7"/>
    <w:rsid w:val="009B459B"/>
    <w:rsid w:val="009D1A81"/>
    <w:rsid w:val="009D2347"/>
    <w:rsid w:val="009D397A"/>
    <w:rsid w:val="009E34AE"/>
    <w:rsid w:val="009E6562"/>
    <w:rsid w:val="009F7546"/>
    <w:rsid w:val="00A31914"/>
    <w:rsid w:val="00AB3443"/>
    <w:rsid w:val="00AC7F02"/>
    <w:rsid w:val="00AE424A"/>
    <w:rsid w:val="00AE584B"/>
    <w:rsid w:val="00B006A5"/>
    <w:rsid w:val="00B27C8E"/>
    <w:rsid w:val="00B52BE9"/>
    <w:rsid w:val="00B53732"/>
    <w:rsid w:val="00B8448E"/>
    <w:rsid w:val="00B868FF"/>
    <w:rsid w:val="00B9643D"/>
    <w:rsid w:val="00BB3FB6"/>
    <w:rsid w:val="00BC1DD0"/>
    <w:rsid w:val="00BF2158"/>
    <w:rsid w:val="00C072F5"/>
    <w:rsid w:val="00C105B6"/>
    <w:rsid w:val="00C61D01"/>
    <w:rsid w:val="00C673AA"/>
    <w:rsid w:val="00C70321"/>
    <w:rsid w:val="00C83E5E"/>
    <w:rsid w:val="00CA3C72"/>
    <w:rsid w:val="00CC47BA"/>
    <w:rsid w:val="00CD7EE8"/>
    <w:rsid w:val="00CE1C3D"/>
    <w:rsid w:val="00CF09E8"/>
    <w:rsid w:val="00D107C1"/>
    <w:rsid w:val="00D15676"/>
    <w:rsid w:val="00D21F38"/>
    <w:rsid w:val="00D36B41"/>
    <w:rsid w:val="00D60C25"/>
    <w:rsid w:val="00D61510"/>
    <w:rsid w:val="00D7495E"/>
    <w:rsid w:val="00D85711"/>
    <w:rsid w:val="00D90A2A"/>
    <w:rsid w:val="00DA5949"/>
    <w:rsid w:val="00DD5991"/>
    <w:rsid w:val="00E0072A"/>
    <w:rsid w:val="00E437B3"/>
    <w:rsid w:val="00E72C66"/>
    <w:rsid w:val="00E85EB0"/>
    <w:rsid w:val="00E9324B"/>
    <w:rsid w:val="00E9663C"/>
    <w:rsid w:val="00EE1668"/>
    <w:rsid w:val="00F028AE"/>
    <w:rsid w:val="00F043EB"/>
    <w:rsid w:val="00F14A07"/>
    <w:rsid w:val="00F22337"/>
    <w:rsid w:val="00F51094"/>
    <w:rsid w:val="00F549D7"/>
    <w:rsid w:val="00F642E5"/>
    <w:rsid w:val="00FA251D"/>
    <w:rsid w:val="00FE03C4"/>
    <w:rsid w:val="03984646"/>
    <w:rsid w:val="0668411F"/>
    <w:rsid w:val="10562362"/>
    <w:rsid w:val="15D61B12"/>
    <w:rsid w:val="177842C7"/>
    <w:rsid w:val="1B3C5743"/>
    <w:rsid w:val="1E5F0B77"/>
    <w:rsid w:val="1EAF683B"/>
    <w:rsid w:val="23FE2045"/>
    <w:rsid w:val="247E00CF"/>
    <w:rsid w:val="2CF310A6"/>
    <w:rsid w:val="2FE81F9B"/>
    <w:rsid w:val="32034099"/>
    <w:rsid w:val="3261079E"/>
    <w:rsid w:val="35DF6603"/>
    <w:rsid w:val="38BE349B"/>
    <w:rsid w:val="44157B62"/>
    <w:rsid w:val="50245A00"/>
    <w:rsid w:val="51D05429"/>
    <w:rsid w:val="6DE54372"/>
    <w:rsid w:val="706C63AF"/>
    <w:rsid w:val="73D7468E"/>
    <w:rsid w:val="77BA389E"/>
    <w:rsid w:val="7E294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</w:style>
  <w:style w:type="paragraph" w:styleId="4">
    <w:name w:val="Balloon Text"/>
    <w:basedOn w:val="1"/>
    <w:link w:val="13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2">
    <w:name w:val="annotation reference"/>
    <w:semiHidden/>
    <w:unhideWhenUsed/>
    <w:qFormat/>
    <w:uiPriority w:val="99"/>
    <w:rPr>
      <w:sz w:val="16"/>
      <w:szCs w:val="16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5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8">
    <w:name w:val="Table Paragraph"/>
    <w:basedOn w:val="1"/>
    <w:qFormat/>
    <w:uiPriority w:val="1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1962</Words>
  <Characters>2558</Characters>
  <Lines>16</Lines>
  <Paragraphs>4</Paragraphs>
  <TotalTime>1</TotalTime>
  <ScaleCrop>false</ScaleCrop>
  <LinksUpToDate>false</LinksUpToDate>
  <CharactersWithSpaces>2633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2018-10-15T06:50:00Z</dcterms:created>
  <dc:creator>User</dc:creator>
  <cp:lastModifiedBy>licj</cp:lastModifiedBy>
  <dcterms:modified xsi:type="dcterms:W3CDTF">2022-09-27T07:36:40Z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834AAB3089224064879705E5DDC6354C</vt:lpwstr>
  </property>
</Properties>
</file>