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lang w:val="en-US" w:eastAsia="zh-CN"/>
        </w:rPr>
        <w:t>化学工程（博士）专业</w:t>
      </w:r>
      <w:r>
        <w:rPr>
          <w:rFonts w:hint="eastAsia"/>
          <w:b/>
          <w:sz w:val="32"/>
          <w:szCs w:val="32"/>
        </w:rPr>
        <w:t>培养方案课程设置与学分分配表</w:t>
      </w:r>
    </w:p>
    <w:tbl>
      <w:tblPr>
        <w:tblStyle w:val="4"/>
        <w:tblW w:w="85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812"/>
        <w:gridCol w:w="1200"/>
        <w:gridCol w:w="2048"/>
        <w:gridCol w:w="500"/>
        <w:gridCol w:w="500"/>
        <w:gridCol w:w="550"/>
        <w:gridCol w:w="1050"/>
        <w:gridCol w:w="800"/>
        <w:gridCol w:w="6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jc w:val="center"/>
        </w:trPr>
        <w:tc>
          <w:tcPr>
            <w:tcW w:w="49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课程类别</w:t>
            </w:r>
          </w:p>
        </w:tc>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模块名称</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课程编号</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课程名称</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学时</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60" w:lineRule="exact"/>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授课学期</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授课方式</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选课要求</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学分要求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  修  课</w:t>
            </w:r>
          </w:p>
        </w:tc>
        <w:tc>
          <w:tcPr>
            <w:tcW w:w="812"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公共课程模块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90031204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中国马克思主义与当代</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both"/>
              <w:rPr>
                <w:rFonts w:hint="eastAsia" w:ascii="宋体" w:hAnsi="宋体" w:eastAsia="宋体" w:cs="宋体"/>
                <w:szCs w:val="21"/>
                <w:lang w:val="en-US" w:eastAsia="zh-CN"/>
              </w:rPr>
            </w:pPr>
            <w:r>
              <w:rPr>
                <w:rFonts w:hint="eastAsia" w:ascii="宋体" w:hAnsi="宋体" w:eastAsia="宋体" w:cs="宋体"/>
                <w:kern w:val="0"/>
                <w:sz w:val="22"/>
                <w:szCs w:val="21"/>
                <w:lang w:val="en-US" w:eastAsia="zh-CN" w:bidi="ar"/>
              </w:rPr>
              <w:t>讲授</w:t>
            </w:r>
          </w:p>
        </w:tc>
        <w:tc>
          <w:tcPr>
            <w:tcW w:w="800"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专业基础课程模块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化工科学前沿进展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化工技术前沿进展</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left"/>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学年论文</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05132039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文献阅读</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阅读讨论</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105" w:leftChars="50" w:right="0" w:firstLine="0"/>
              <w:jc w:val="left"/>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选修  课</w:t>
            </w:r>
          </w:p>
        </w:tc>
        <w:tc>
          <w:tcPr>
            <w:tcW w:w="81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行业通识与综合素养模块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储能材料与技术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讲授</w:t>
            </w:r>
          </w:p>
        </w:tc>
        <w:tc>
          <w:tcPr>
            <w:tcW w:w="800"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至</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少</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选</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3</w:t>
            </w:r>
          </w:p>
          <w:p>
            <w:pPr>
              <w:keepNext w:val="0"/>
              <w:keepLines w:val="0"/>
              <w:widowControl/>
              <w:suppressLineNumbers w:val="0"/>
              <w:spacing w:before="0" w:beforeAutospacing="0" w:after="0" w:afterAutospacing="0" w:line="360" w:lineRule="auto"/>
              <w:ind w:left="0" w:right="0" w:firstLine="425"/>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门</w:t>
            </w:r>
          </w:p>
        </w:tc>
        <w:tc>
          <w:tcPr>
            <w:tcW w:w="602" w:type="dxa"/>
            <w:vMerge w:val="restart"/>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220" w:firstLineChars="100"/>
              <w:jc w:val="left"/>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绿色化学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能源化学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left"/>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05122036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计算机在化学中的应用</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应用电化学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05121004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结构分析</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68</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110" w:firstLineChars="5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4</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富集纯化与分离科学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05122017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现代药物分离方法与技术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05122029</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聚合物现代光谱技术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高分子凝聚态物理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05122046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高分子的分子设计</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05122053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金属有机</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05122026</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有机立体化学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05122042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高分子吸附分离材料与技术</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Cambria"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 NEw Roman" w:hAnsi="Cambria"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05122060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高分子化学反应</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spacing w:before="0" w:beforeAutospacing="0" w:after="0" w:afterAutospacing="0" w:line="36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化学反应动力学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现代高分子化学</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51</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05121018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现代仪器分析实验</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05122070</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Computational Chemistry: Theory and Applications</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05122071</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Scientific Communication in the English Language</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05122072</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智能材料</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 NEw Roman" w:hAnsi="宋体" w:eastAsia="Time NEw Roman" w:cs="Time NEw Roman"/>
                <w:kern w:val="0"/>
                <w:sz w:val="22"/>
                <w:szCs w:val="21"/>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 NEw Roman" w:hAnsi="宋体" w:eastAsia="宋体" w:cs="宋体"/>
                <w:kern w:val="0"/>
                <w:sz w:val="22"/>
                <w:szCs w:val="21"/>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05132003</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危险化学品的安全管理</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default" w:ascii="Time NEw Roman" w:hAnsi="宋体" w:eastAsia="宋体" w:cs="Times New Roman"/>
                <w:sz w:val="22"/>
                <w:szCs w:val="21"/>
                <w:lang w:val="en-US" w:eastAsia="en-US" w:bidi="ar"/>
              </w:rPr>
              <w:t>05132014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tbl>
            <w:tblPr>
              <w:tblStyle w:val="4"/>
              <w:tblW w:w="7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294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 NEw Roman" w:hAnsi="宋体" w:eastAsia="Time NEw Roman" w:cs="Time NEw Roman"/>
                      <w:szCs w:val="21"/>
                      <w:lang w:val="en-US"/>
                    </w:rPr>
                  </w:pPr>
                  <w:r>
                    <w:rPr>
                      <w:rFonts w:hint="eastAsia" w:ascii="Time NEw Roman" w:hAnsi="宋体" w:eastAsia="宋体" w:cs="宋体"/>
                      <w:kern w:val="0"/>
                      <w:sz w:val="22"/>
                      <w:szCs w:val="21"/>
                      <w:lang w:val="en-US" w:eastAsia="zh-CN" w:bidi="ar"/>
                    </w:rPr>
                    <w:t>功能高分子材料</w:t>
                  </w:r>
                </w:p>
              </w:tc>
            </w:tr>
          </w:tbl>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kern w:val="2"/>
                <w:sz w:val="22"/>
                <w:szCs w:val="22"/>
                <w:lang w:val="en-US" w:eastAsia="zh-CN" w:bidi="ar"/>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eastAsia="宋体" w:cs="Times New Roman"/>
                <w:kern w:val="2"/>
                <w:sz w:val="22"/>
                <w:szCs w:val="22"/>
                <w:lang w:val="en-US" w:eastAsia="zh-CN" w:bidi="ar"/>
              </w:rPr>
            </w:pPr>
            <w:r>
              <w:rPr>
                <w:rFonts w:hint="eastAsia"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eastAsia" w:ascii="Times New Roman" w:hAnsi="Times New Roman" w:eastAsia="宋体" w:cs="宋体"/>
                <w:kern w:val="2"/>
                <w:sz w:val="22"/>
                <w:szCs w:val="22"/>
                <w:lang w:val="en-US" w:eastAsia="zh-CN" w:bidi="ar"/>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05121028</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通识教育</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34</w:t>
            </w:r>
          </w:p>
        </w:tc>
        <w:tc>
          <w:tcPr>
            <w:tcW w:w="5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5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2</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讲授</w:t>
            </w:r>
          </w:p>
        </w:tc>
        <w:tc>
          <w:tcPr>
            <w:tcW w:w="800"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602" w:type="dxa"/>
            <w:vMerge w:val="continue"/>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必修环节</w:t>
            </w:r>
          </w:p>
        </w:tc>
        <w:tc>
          <w:tcPr>
            <w:tcW w:w="8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auto"/>
              <w:ind w:left="0" w:right="0" w:firstLine="0"/>
              <w:jc w:val="center"/>
              <w:rPr>
                <w:rFonts w:hint="eastAsia" w:ascii="宋体" w:hAnsi="宋体" w:eastAsia="宋体" w:cs="宋体"/>
                <w:lang w:val="en-US" w:eastAsia="zh-CN"/>
              </w:rPr>
            </w:pPr>
            <w:r>
              <w:rPr>
                <w:rFonts w:hint="eastAsia" w:ascii="宋体" w:hAnsi="宋体" w:eastAsia="宋体" w:cs="宋体"/>
                <w:kern w:val="0"/>
                <w:sz w:val="22"/>
                <w:szCs w:val="22"/>
                <w:lang w:val="en-US" w:eastAsia="zh-CN" w:bidi="ar"/>
              </w:rPr>
              <w:t>专业实践模块</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05131014</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专业实践讲座</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05131035</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学术会议</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17</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220" w:firstLineChars="10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讲座</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8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Cambria" w:hAnsi="Cambria" w:eastAsia="Cambria" w:cs="Cambria"/>
                <w:sz w:val="20"/>
                <w:szCs w:val="20"/>
              </w:rPr>
            </w:pPr>
          </w:p>
        </w:tc>
        <w:tc>
          <w:tcPr>
            <w:tcW w:w="1200"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default" w:ascii="Times New Roman" w:hAnsi="Times New Roman" w:eastAsia="宋体" w:cs="Times New Roman"/>
                <w:kern w:val="2"/>
                <w:sz w:val="22"/>
                <w:szCs w:val="22"/>
                <w:lang w:val="en-US" w:eastAsia="zh-CN" w:bidi="ar"/>
              </w:rPr>
              <w:t>05131037</w:t>
            </w:r>
          </w:p>
        </w:tc>
        <w:tc>
          <w:tcPr>
            <w:tcW w:w="20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专业实践</w:t>
            </w: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color w:val="FF0000"/>
                <w:kern w:val="2"/>
                <w:lang w:val="en-US" w:eastAsia="zh-CN"/>
              </w:rPr>
            </w:pPr>
          </w:p>
        </w:tc>
        <w:tc>
          <w:tcPr>
            <w:tcW w:w="5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Times New Roman" w:hAnsi="Times New Roman" w:cs="Times New Roman"/>
                <w:kern w:val="2"/>
                <w:lang w:val="en-US" w:eastAsia="zh-CN"/>
              </w:rPr>
            </w:pPr>
            <w:r>
              <w:rPr>
                <w:rFonts w:hint="eastAsia" w:ascii="Times New Roman" w:hAnsi="Times New Roman" w:cs="Times New Roman"/>
                <w:kern w:val="2"/>
                <w:lang w:val="en-US" w:eastAsia="zh-CN"/>
              </w:rPr>
              <w:t>6</w:t>
            </w:r>
          </w:p>
        </w:tc>
        <w:tc>
          <w:tcPr>
            <w:tcW w:w="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default" w:ascii="宋体" w:hAnsi="宋体" w:eastAsia="宋体" w:cs="宋体"/>
                <w:kern w:val="2"/>
                <w:lang w:val="en-US" w:eastAsia="zh-CN"/>
              </w:rPr>
            </w:pPr>
            <w:r>
              <w:rPr>
                <w:rFonts w:hint="eastAsia" w:ascii="宋体" w:hAnsi="宋体" w:eastAsia="宋体" w:cs="宋体"/>
                <w:kern w:val="2"/>
                <w:lang w:val="en-US" w:eastAsia="zh-CN"/>
              </w:rPr>
              <w:t>3</w:t>
            </w: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实践</w:t>
            </w:r>
          </w:p>
        </w:tc>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必修</w:t>
            </w:r>
          </w:p>
        </w:tc>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240" w:lineRule="auto"/>
              <w:ind w:left="0" w:right="0" w:firstLine="0"/>
              <w:jc w:val="center"/>
              <w:rPr>
                <w:rFonts w:hint="eastAsia" w:ascii="宋体" w:hAnsi="宋体" w:eastAsia="宋体" w:cs="宋体"/>
                <w:kern w:val="2"/>
                <w:lang w:val="en-US" w:eastAsia="zh-CN"/>
              </w:rPr>
            </w:pPr>
            <w:r>
              <w:rPr>
                <w:rFonts w:hint="eastAsia" w:ascii="宋体" w:hAnsi="宋体" w:eastAsia="宋体" w:cs="宋体"/>
                <w:kern w:val="2"/>
                <w:sz w:val="22"/>
                <w:szCs w:val="22"/>
                <w:lang w:val="en-US" w:eastAsia="zh-CN" w:bidi="ar"/>
              </w:rPr>
              <w:t>6</w:t>
            </w:r>
          </w:p>
        </w:tc>
      </w:tr>
    </w:tbl>
    <w:p>
      <w:pPr>
        <w:rPr>
          <w:rFonts w:hint="eastAsia"/>
        </w:rPr>
      </w:pPr>
    </w:p>
    <w:p>
      <w:pPr>
        <w:rPr>
          <w:rFonts w:hint="eastAsia"/>
        </w:rPr>
      </w:pPr>
    </w:p>
    <w:p>
      <w:pPr>
        <w:rPr>
          <w:rFonts w:hint="eastAsia"/>
        </w:rPr>
      </w:pPr>
    </w:p>
    <w:p>
      <w:pPr>
        <w:keepNext w:val="0"/>
        <w:keepLines w:val="0"/>
        <w:widowControl/>
        <w:suppressLineNumbers w:val="0"/>
        <w:autoSpaceDE w:val="0"/>
        <w:autoSpaceDN w:val="0"/>
        <w:adjustRightInd w:val="0"/>
        <w:spacing w:before="0" w:beforeAutospacing="0" w:after="0" w:afterAutospacing="0" w:line="360" w:lineRule="auto"/>
        <w:ind w:right="0" w:firstLine="210" w:firstLineChars="100"/>
        <w:jc w:val="left"/>
        <w:rPr>
          <w:rFonts w:hint="eastAsia"/>
        </w:rPr>
      </w:pPr>
      <w:r>
        <w:rPr>
          <w:rFonts w:hint="eastAsia"/>
        </w:rPr>
        <w:t>备注：</w:t>
      </w:r>
    </w:p>
    <w:p>
      <w:pPr>
        <w:keepNext w:val="0"/>
        <w:keepLines w:val="0"/>
        <w:widowControl/>
        <w:suppressLineNumbers w:val="0"/>
        <w:autoSpaceDE w:val="0"/>
        <w:autoSpaceDN w:val="0"/>
        <w:adjustRightInd w:val="0"/>
        <w:spacing w:before="0" w:beforeAutospacing="0" w:after="0" w:afterAutospacing="0" w:line="360" w:lineRule="auto"/>
        <w:ind w:left="420" w:leftChars="200" w:right="0" w:firstLine="422" w:firstLineChars="200"/>
        <w:jc w:val="left"/>
        <w:rPr>
          <w:rFonts w:hint="eastAsia" w:ascii="宋体" w:hAnsi="宋体" w:eastAsia="宋体" w:cs="Courier New"/>
          <w:szCs w:val="21"/>
          <w:lang w:val="en-US" w:eastAsia="zh-CN"/>
        </w:rPr>
      </w:pPr>
      <w:r>
        <w:rPr>
          <w:rFonts w:hint="eastAsia" w:ascii="宋体" w:hAnsi="宋体"/>
          <w:b/>
        </w:rPr>
        <w:t>1.</w:t>
      </w:r>
      <w:r>
        <w:rPr>
          <w:rFonts w:hint="eastAsia" w:ascii="宋体" w:hAnsi="宋体"/>
        </w:rPr>
        <w:t xml:space="preserve"> </w:t>
      </w:r>
      <w:r>
        <w:rPr>
          <w:rFonts w:hint="eastAsia" w:ascii="宋体" w:hAnsi="宋体" w:eastAsia="宋体" w:cs="Courier New"/>
          <w:kern w:val="0"/>
          <w:sz w:val="22"/>
          <w:szCs w:val="21"/>
          <w:lang w:val="en-US" w:eastAsia="zh-CN" w:bidi="ar"/>
        </w:rPr>
        <w:t>化学工程博士专业学位研究生在学期间应修总学分不少于22学分，其中课程学习不少于14学分（必修课不少于8学分、选修课不少于6学分），必修环节8学分。</w:t>
      </w:r>
    </w:p>
    <w:p>
      <w:pPr>
        <w:keepNext w:val="0"/>
        <w:keepLines w:val="0"/>
        <w:widowControl w:val="0"/>
        <w:suppressLineNumbers w:val="0"/>
        <w:topLinePunct/>
        <w:spacing w:before="0" w:beforeAutospacing="0" w:after="0" w:afterAutospacing="0" w:line="360" w:lineRule="auto"/>
        <w:ind w:right="0" w:firstLine="880" w:firstLineChars="400"/>
        <w:jc w:val="left"/>
        <w:textAlignment w:val="top"/>
        <w:rPr>
          <w:rFonts w:hint="eastAsia" w:ascii="宋体" w:hAnsi="宋体" w:eastAsia="宋体" w:cs="Courier New"/>
          <w:szCs w:val="21"/>
          <w:lang w:val="en-US" w:eastAsia="zh-CN"/>
        </w:rPr>
      </w:pPr>
      <w:r>
        <w:rPr>
          <w:rFonts w:hint="eastAsia" w:ascii="宋体" w:hAnsi="宋体" w:eastAsia="宋体" w:cs="Courier New"/>
          <w:kern w:val="0"/>
          <w:sz w:val="22"/>
          <w:szCs w:val="21"/>
          <w:lang w:val="en-US" w:eastAsia="zh-CN" w:bidi="ar"/>
        </w:rPr>
        <w:t>2、专业实践说明：化学工程博士专业学位研究生在学期间，应结合国家重大科技专项和企业重大科研项目进行论文科研工作，在校内以及校企联合培养基地进行专业实践，总时间不少于</w:t>
      </w:r>
      <w:bookmarkStart w:id="0" w:name="_GoBack"/>
      <w:bookmarkEnd w:id="0"/>
      <w:r>
        <w:rPr>
          <w:rFonts w:hint="eastAsia" w:ascii="宋体" w:hAnsi="宋体" w:eastAsia="宋体" w:cs="Courier New"/>
          <w:kern w:val="0"/>
          <w:sz w:val="22"/>
          <w:szCs w:val="21"/>
          <w:lang w:val="en-US" w:eastAsia="zh-CN" w:bidi="ar"/>
        </w:rPr>
        <w:t>18个月（专业实践中可包括到国外相关的研究机构或者知名国际公司进行累计不少于3个月的研修或者国际交流合作）。专业实践内容由指导教师团队根据博士生的情况具体制定计划。专业实践结束后，博士生需提交由校内、校外指导教师签署意见的书面实践报告，通过由指导教师组织的实践汇报答辩，方可获得相应学分。</w:t>
      </w:r>
    </w:p>
    <w:p>
      <w:pPr>
        <w:jc w:val="left"/>
        <w:rPr>
          <w:rFonts w:ascii="宋体" w:hAnsi="宋体"/>
        </w:rPr>
      </w:pPr>
    </w:p>
    <w:p>
      <w:pPr>
        <w:ind w:left="840" w:leftChars="350" w:hanging="105" w:hangingChars="50"/>
        <w:jc w:val="left"/>
        <w:rPr>
          <w:rFonts w:ascii="宋体" w:hAnsi="宋体"/>
          <w:b/>
          <w:bCs/>
          <w:color w:val="FF0000"/>
        </w:rPr>
      </w:pPr>
      <w:r>
        <w:rPr>
          <w:rFonts w:hint="eastAsia" w:ascii="宋体" w:hAnsi="宋体"/>
          <w:lang w:val="en-US" w:eastAsia="zh-CN"/>
        </w:rPr>
        <w:t>3</w:t>
      </w:r>
      <w:r>
        <w:rPr>
          <w:rFonts w:hint="eastAsia" w:ascii="宋体" w:hAnsi="宋体"/>
        </w:rPr>
        <w:t>.</w:t>
      </w:r>
      <w:r>
        <w:rPr>
          <w:rFonts w:hint="eastAsia" w:ascii="宋体" w:hAnsi="宋体"/>
          <w:b/>
          <w:bCs/>
          <w:color w:val="FF0000"/>
        </w:rPr>
        <w:t>《专业实践讲座》周六2-4节，</w:t>
      </w:r>
      <w:r>
        <w:rPr>
          <w:rFonts w:hint="eastAsia" w:ascii="宋体" w:hAnsi="宋体"/>
          <w:b/>
          <w:bCs/>
          <w:color w:val="FF0000"/>
          <w:lang w:val="en-US" w:eastAsia="zh-CN"/>
        </w:rPr>
        <w:t xml:space="preserve"> 为四次讲座课程 </w:t>
      </w:r>
      <w:r>
        <w:rPr>
          <w:rFonts w:hint="eastAsia" w:ascii="宋体" w:hAnsi="宋体"/>
          <w:b/>
          <w:bCs/>
          <w:color w:val="FF0000"/>
        </w:rPr>
        <w:t>,具体每个讲座的具体时间</w:t>
      </w:r>
      <w:r>
        <w:rPr>
          <w:rFonts w:hint="eastAsia" w:ascii="宋体" w:hAnsi="宋体"/>
          <w:b/>
          <w:bCs/>
          <w:color w:val="FF0000"/>
          <w:lang w:val="en-US" w:eastAsia="zh-CN"/>
        </w:rPr>
        <w:t>另行通知（</w:t>
      </w:r>
      <w:r>
        <w:rPr>
          <w:rFonts w:hint="eastAsia" w:ascii="宋体" w:hAnsi="宋体"/>
          <w:b/>
          <w:bCs/>
          <w:color w:val="FF0000"/>
        </w:rPr>
        <w:t>见化学院网页通知</w:t>
      </w:r>
      <w:r>
        <w:rPr>
          <w:rFonts w:hint="eastAsia" w:ascii="宋体" w:hAnsi="宋体"/>
          <w:b/>
          <w:bCs/>
          <w:color w:val="FF0000"/>
          <w:lang w:val="en-US" w:eastAsia="zh-CN"/>
        </w:rPr>
        <w:t>或者</w:t>
      </w:r>
      <w:r>
        <w:rPr>
          <w:rFonts w:hint="eastAsia" w:ascii="宋体" w:hAnsi="宋体"/>
          <w:b/>
          <w:bCs/>
          <w:color w:val="FF0000"/>
        </w:rPr>
        <w:t>班级</w:t>
      </w:r>
      <w:r>
        <w:rPr>
          <w:rFonts w:hint="eastAsia" w:ascii="宋体" w:hAnsi="宋体"/>
          <w:b/>
          <w:bCs/>
          <w:color w:val="FF0000"/>
          <w:lang w:val="en-US" w:eastAsia="zh-CN"/>
        </w:rPr>
        <w:t>微信</w:t>
      </w:r>
      <w:r>
        <w:rPr>
          <w:rFonts w:hint="eastAsia" w:ascii="宋体" w:hAnsi="宋体"/>
          <w:b/>
          <w:bCs/>
          <w:color w:val="FF0000"/>
        </w:rPr>
        <w:t>群里</w:t>
      </w:r>
      <w:r>
        <w:rPr>
          <w:rFonts w:hint="eastAsia" w:ascii="宋体" w:hAnsi="宋体"/>
          <w:b/>
          <w:bCs/>
          <w:color w:val="FF0000"/>
          <w:lang w:eastAsia="zh-CN"/>
        </w:rPr>
        <w:t>）</w:t>
      </w:r>
      <w:r>
        <w:rPr>
          <w:rFonts w:hint="eastAsia" w:ascii="宋体" w:hAnsi="宋体"/>
          <w:b/>
          <w:bCs/>
          <w:color w:val="FF0000"/>
        </w:rPr>
        <w:t>。</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4</w:t>
      </w:r>
      <w:r>
        <w:rPr>
          <w:rFonts w:hint="eastAsia" w:ascii="宋体" w:hAnsi="宋体"/>
          <w:szCs w:val="21"/>
        </w:rPr>
        <w:t>.体育课为选修课，学分不计算在研究生专业培养方案规定的总学分中。每人限选一门。</w:t>
      </w:r>
    </w:p>
    <w:p>
      <w:pPr>
        <w:spacing w:line="400" w:lineRule="exact"/>
        <w:ind w:left="836" w:leftChars="348" w:hanging="105" w:hangingChars="50"/>
        <w:jc w:val="left"/>
        <w:rPr>
          <w:rFonts w:ascii="宋体" w:hAnsi="宋体"/>
          <w:szCs w:val="21"/>
        </w:rPr>
      </w:pP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研究生</w:t>
      </w:r>
      <w:r>
        <w:rPr>
          <w:rFonts w:hint="eastAsia" w:ascii="宋体" w:hAnsi="宋体"/>
          <w:szCs w:val="21"/>
          <w:highlight w:val="yellow"/>
          <w:lang w:val="en-US" w:eastAsia="zh-CN"/>
        </w:rPr>
        <w:t>必须先在导师指导下</w:t>
      </w:r>
      <w:r>
        <w:rPr>
          <w:rFonts w:hint="eastAsia" w:ascii="宋体" w:hAnsi="宋体"/>
          <w:szCs w:val="21"/>
          <w:lang w:val="en-US" w:eastAsia="zh-CN"/>
        </w:rPr>
        <w:t>制定个人计划，然后进入选课系统填写个人计划，</w:t>
      </w:r>
      <w:r>
        <w:rPr>
          <w:rFonts w:hint="eastAsia"/>
        </w:rPr>
        <w:t>个人计划制定后无需导师确认，我们研究生办统一给同学们审核</w:t>
      </w:r>
      <w:r>
        <w:rPr>
          <w:rFonts w:hint="eastAsia"/>
          <w:lang w:eastAsia="zh-CN"/>
        </w:rPr>
        <w:t>，</w:t>
      </w:r>
      <w:r>
        <w:rPr>
          <w:rFonts w:hint="eastAsia"/>
        </w:rPr>
        <w:t>审核后方可进行选课</w:t>
      </w:r>
      <w:r>
        <w:rPr>
          <w:rFonts w:hint="eastAsia"/>
          <w:lang w:eastAsia="zh-CN"/>
        </w:rPr>
        <w:t>，</w:t>
      </w:r>
      <w:r>
        <w:rPr>
          <w:rFonts w:hint="eastAsia" w:ascii="宋体" w:hAnsi="宋体"/>
          <w:szCs w:val="21"/>
        </w:rPr>
        <w:t>详见研究生教育综合管理系统（学生操作手册），</w:t>
      </w:r>
      <w:r>
        <w:rPr>
          <w:rFonts w:hint="eastAsia" w:ascii="宋体" w:hAnsi="宋体"/>
          <w:szCs w:val="21"/>
          <w:highlight w:val="yellow"/>
        </w:rPr>
        <w:t>选课</w:t>
      </w:r>
      <w:r>
        <w:rPr>
          <w:rFonts w:hint="eastAsia" w:ascii="宋体" w:hAnsi="宋体"/>
          <w:szCs w:val="21"/>
          <w:highlight w:val="yellow"/>
          <w:lang w:val="en-US" w:eastAsia="zh-CN"/>
        </w:rPr>
        <w:t>结束后</w:t>
      </w:r>
      <w:r>
        <w:rPr>
          <w:rFonts w:hint="eastAsia" w:ascii="宋体" w:hAnsi="宋体"/>
          <w:szCs w:val="21"/>
          <w:highlight w:val="yellow"/>
        </w:rPr>
        <w:t>后打印个人计划表</w:t>
      </w:r>
      <w:r>
        <w:rPr>
          <w:rFonts w:hint="eastAsia" w:ascii="宋体" w:hAnsi="宋体"/>
          <w:szCs w:val="21"/>
          <w:highlight w:val="yellow"/>
          <w:lang w:eastAsia="zh-CN"/>
        </w:rPr>
        <w:t>（</w:t>
      </w:r>
      <w:r>
        <w:rPr>
          <w:rFonts w:hint="eastAsia" w:ascii="宋体" w:hAnsi="宋体"/>
          <w:szCs w:val="21"/>
          <w:highlight w:val="yellow"/>
        </w:rPr>
        <w:t>须有导师签字</w:t>
      </w:r>
      <w:r>
        <w:rPr>
          <w:rFonts w:hint="eastAsia" w:ascii="宋体" w:hAnsi="宋体"/>
          <w:szCs w:val="21"/>
          <w:highlight w:val="yellow"/>
          <w:lang w:eastAsia="zh-CN"/>
        </w:rPr>
        <w:t>）</w:t>
      </w:r>
      <w:r>
        <w:rPr>
          <w:rFonts w:hint="eastAsia" w:ascii="宋体" w:hAnsi="宋体"/>
          <w:szCs w:val="21"/>
          <w:highlight w:val="yellow"/>
        </w:rPr>
        <w:t>请</w:t>
      </w:r>
      <w:r>
        <w:rPr>
          <w:rFonts w:hint="eastAsia" w:ascii="宋体" w:hAnsi="宋体"/>
          <w:szCs w:val="21"/>
          <w:highlight w:val="yellow"/>
          <w:lang w:val="en-US" w:eastAsia="zh-CN"/>
        </w:rPr>
        <w:t>班长收齐后</w:t>
      </w:r>
      <w:r>
        <w:rPr>
          <w:rFonts w:hint="eastAsia" w:ascii="宋体" w:hAnsi="宋体"/>
          <w:szCs w:val="21"/>
          <w:highlight w:val="yellow"/>
        </w:rPr>
        <w:t>于10号30号前交于研究生办公室413郑老师.</w:t>
      </w:r>
    </w:p>
    <w:p>
      <w:pPr>
        <w:widowControl/>
        <w:spacing w:before="100" w:beforeAutospacing="1" w:after="100" w:afterAutospacing="1" w:line="226" w:lineRule="atLeast"/>
        <w:ind w:left="946" w:leftChars="300" w:hanging="316" w:hangingChars="150"/>
        <w:jc w:val="left"/>
        <w:rPr>
          <w:rFonts w:hint="eastAsia" w:ascii="宋体" w:hAnsi="宋体" w:eastAsia="宋体" w:cs="宋体"/>
          <w:kern w:val="2"/>
          <w:sz w:val="24"/>
          <w:szCs w:val="24"/>
          <w:highlight w:val="lightGray"/>
          <w:lang w:val="en-US" w:eastAsia="zh-CN" w:bidi="ar"/>
        </w:rPr>
      </w:pPr>
      <w:r>
        <w:rPr>
          <w:rFonts w:hint="eastAsia" w:ascii="宋体" w:hAnsi="宋体"/>
          <w:b/>
          <w:szCs w:val="21"/>
          <w:lang w:val="en-US" w:eastAsia="zh-CN"/>
        </w:rPr>
        <w:t>6.</w:t>
      </w:r>
      <w:r>
        <w:rPr>
          <w:rFonts w:ascii="Verdana" w:hAnsi="Verdana" w:eastAsia="宋体" w:cs="宋体"/>
          <w:kern w:val="0"/>
          <w:sz w:val="24"/>
          <w:szCs w:val="24"/>
          <w:highlight w:val="lightGray"/>
        </w:rPr>
        <w:t>选课时间：</w:t>
      </w:r>
      <w:r>
        <w:rPr>
          <w:rFonts w:hint="eastAsia" w:ascii="Verdana" w:hAnsi="Verdana" w:eastAsia="宋体" w:cs="宋体"/>
          <w:kern w:val="0"/>
          <w:sz w:val="24"/>
          <w:szCs w:val="24"/>
          <w:highlight w:val="lightGray"/>
          <w:lang w:val="en-US" w:eastAsia="zh-CN"/>
        </w:rPr>
        <w:t>8月28日（周一）9:00至9月8日（周一）12:00</w:t>
      </w:r>
      <w:r>
        <w:rPr>
          <w:rFonts w:hint="eastAsia" w:ascii="宋体" w:hAnsi="宋体" w:eastAsia="宋体" w:cs="宋体"/>
          <w:kern w:val="2"/>
          <w:sz w:val="24"/>
          <w:szCs w:val="24"/>
          <w:highlight w:val="lightGray"/>
          <w:lang w:val="en-US" w:eastAsia="zh-CN" w:bidi="ar"/>
        </w:rPr>
        <w:t>开放  ，之后没有补退选，选课网站</w:t>
      </w:r>
    </w:p>
    <w:p>
      <w:pPr>
        <w:widowControl/>
        <w:spacing w:before="100" w:beforeAutospacing="1" w:after="100" w:afterAutospacing="1" w:line="226" w:lineRule="atLeast"/>
        <w:ind w:left="945" w:leftChars="400" w:hanging="105" w:hangingChars="50"/>
        <w:jc w:val="left"/>
        <w:rPr>
          <w:rFonts w:hint="eastAsia" w:ascii="宋体" w:hAnsi="宋体"/>
          <w:szCs w:val="21"/>
        </w:rPr>
      </w:pPr>
      <w:r>
        <w:fldChar w:fldCharType="begin"/>
      </w:r>
      <w:r>
        <w:instrText xml:space="preserve"> HYPERLINK "http://yjs.nankai.edu.cn/" </w:instrText>
      </w:r>
      <w:r>
        <w:fldChar w:fldCharType="separate"/>
      </w:r>
      <w:r>
        <w:rPr>
          <w:rStyle w:val="6"/>
          <w:rFonts w:hint="eastAsia" w:ascii="宋体" w:hAnsi="宋体"/>
          <w:szCs w:val="21"/>
        </w:rPr>
        <w:t>http</w:t>
      </w:r>
      <w:r>
        <w:rPr>
          <w:rStyle w:val="6"/>
          <w:rFonts w:hint="eastAsia" w:ascii="宋体" w:hAnsi="宋体"/>
          <w:szCs w:val="21"/>
          <w:lang w:val="en-US" w:eastAsia="zh-CN"/>
        </w:rPr>
        <w:t>s</w:t>
      </w:r>
      <w:r>
        <w:rPr>
          <w:rStyle w:val="6"/>
          <w:rFonts w:hint="eastAsia" w:ascii="宋体" w:hAnsi="宋体"/>
          <w:szCs w:val="21"/>
        </w:rPr>
        <w:t>://yjs.nankai.edu.cn/</w:t>
      </w:r>
      <w:r>
        <w:rPr>
          <w:rStyle w:val="6"/>
          <w:rFonts w:hint="eastAsia" w:ascii="宋体" w:hAnsi="宋体"/>
          <w:szCs w:val="21"/>
        </w:rPr>
        <w:fldChar w:fldCharType="end"/>
      </w:r>
      <w:r>
        <w:rPr>
          <w:rFonts w:hint="eastAsia" w:ascii="宋体" w:hAnsi="宋体"/>
          <w:szCs w:val="21"/>
        </w:rPr>
        <w:t>（</w:t>
      </w:r>
      <w:r>
        <w:rPr>
          <w:rFonts w:hint="eastAsia" w:ascii="宋体" w:hAnsi="宋体"/>
          <w:szCs w:val="21"/>
          <w:lang w:val="en-US" w:eastAsia="zh-CN"/>
        </w:rPr>
        <w:t xml:space="preserve"> </w:t>
      </w:r>
      <w:r>
        <w:rPr>
          <w:rFonts w:hint="eastAsia" w:ascii="宋体" w:hAnsi="宋体"/>
          <w:szCs w:val="21"/>
        </w:rPr>
        <w:t>推荐谷歌浏览器打开新系统）完成新生信息核对及本人培养方案的选择后方能正常选课，其中本人手机号为必填项。</w:t>
      </w:r>
    </w:p>
    <w:p>
      <w:pPr>
        <w:widowControl/>
        <w:spacing w:before="100" w:beforeAutospacing="1" w:after="100" w:afterAutospacing="1" w:line="226" w:lineRule="atLeast"/>
        <w:ind w:left="840" w:leftChars="400" w:firstLine="105" w:firstLineChars="50"/>
        <w:jc w:val="left"/>
        <w:rPr>
          <w:rFonts w:hint="default" w:ascii="宋体" w:hAnsi="宋体"/>
          <w:szCs w:val="21"/>
          <w:lang w:val="en-US"/>
        </w:rPr>
      </w:pPr>
      <w:r>
        <w:rPr>
          <w:rFonts w:hint="eastAsia" w:ascii="宋体" w:hAnsi="宋体"/>
          <w:szCs w:val="21"/>
          <w:lang w:val="en-US" w:eastAsia="zh-CN"/>
        </w:rPr>
        <w:t>另外，不在学校的同学需要在南开大学网站下载VPN:https://www.nankai.edu.cn/VPN/list.htm,登录VPN后 进入网站：https://webvpn.nankai.edu.cn/</w:t>
      </w:r>
    </w:p>
    <w:p>
      <w:pPr>
        <w:spacing w:line="400" w:lineRule="exact"/>
        <w:ind w:left="630" w:leftChars="300" w:firstLine="0" w:firstLineChars="0"/>
        <w:jc w:val="left"/>
        <w:rPr>
          <w:rFonts w:ascii="宋体" w:hAnsi="宋体"/>
          <w:szCs w:val="21"/>
        </w:rPr>
      </w:pPr>
      <w:r>
        <w:rPr>
          <w:rFonts w:hint="eastAsia" w:ascii="宋体" w:hAnsi="宋体"/>
          <w:b/>
          <w:szCs w:val="21"/>
          <w:lang w:val="en-US" w:eastAsia="zh-CN"/>
        </w:rPr>
        <w:t>7</w:t>
      </w:r>
      <w:r>
        <w:rPr>
          <w:rFonts w:hint="eastAsia" w:ascii="宋体" w:hAnsi="宋体"/>
          <w:b/>
          <w:szCs w:val="21"/>
        </w:rPr>
        <w:t>.</w:t>
      </w:r>
      <w:r>
        <w:rPr>
          <w:rFonts w:hint="eastAsia" w:ascii="宋体" w:hAnsi="宋体"/>
          <w:szCs w:val="21"/>
        </w:rPr>
        <w:t>选课时只选本学期的课程，不能跨学期选课，选课时间结束后，选课系统将自动锁定，无法进行选课、退课等操作。</w:t>
      </w:r>
    </w:p>
    <w:p>
      <w:pPr>
        <w:spacing w:line="360" w:lineRule="auto"/>
        <w:ind w:firstLine="735" w:firstLineChars="350"/>
        <w:jc w:val="left"/>
        <w:rPr>
          <w:rFonts w:ascii="宋体" w:hAnsi="宋体"/>
          <w:szCs w:val="21"/>
        </w:rPr>
      </w:pPr>
      <w:r>
        <w:rPr>
          <w:rFonts w:hint="eastAsia" w:ascii="宋体" w:hAnsi="宋体"/>
          <w:szCs w:val="21"/>
          <w:lang w:val="en-US" w:eastAsia="zh-CN"/>
        </w:rPr>
        <w:t>8</w:t>
      </w:r>
      <w:r>
        <w:rPr>
          <w:rFonts w:hint="eastAsia" w:ascii="宋体" w:hAnsi="宋体"/>
          <w:szCs w:val="21"/>
        </w:rPr>
        <w:t>.政治和公共英语课按照分班名单进行网上选课（</w:t>
      </w:r>
      <w:r>
        <w:rPr>
          <w:rFonts w:hint="eastAsia" w:ascii="宋体" w:hAnsi="宋体"/>
          <w:szCs w:val="21"/>
          <w:lang w:val="en-US" w:eastAsia="zh-CN"/>
        </w:rPr>
        <w:t>请见化学学院网站-研究生培养-培养管理</w:t>
      </w:r>
      <w:r>
        <w:rPr>
          <w:rFonts w:hint="eastAsia" w:ascii="宋体" w:hAnsi="宋体"/>
          <w:szCs w:val="21"/>
        </w:rPr>
        <w:t>）。</w:t>
      </w:r>
    </w:p>
    <w:p>
      <w:pPr>
        <w:spacing w:line="360" w:lineRule="auto"/>
        <w:ind w:firstLine="840" w:firstLineChars="400"/>
        <w:jc w:val="left"/>
        <w:rPr>
          <w:rFonts w:ascii="宋体" w:hAnsi="宋体"/>
          <w:szCs w:val="21"/>
        </w:rPr>
      </w:pPr>
      <w:r>
        <w:rPr>
          <w:rFonts w:hint="eastAsia" w:ascii="宋体" w:hAnsi="宋体"/>
          <w:szCs w:val="21"/>
          <w:lang w:val="en-US" w:eastAsia="zh-CN"/>
        </w:rPr>
        <w:t>（1</w:t>
      </w:r>
      <w:r>
        <w:rPr>
          <w:rFonts w:hint="eastAsia" w:ascii="宋体" w:hAnsi="宋体"/>
          <w:szCs w:val="21"/>
        </w:rPr>
        <w:t>）第一外国语（英语）免修的同学也要选课（详见研究生教育综合管理系统（学生）操作手册），否则不计学分。</w:t>
      </w:r>
    </w:p>
    <w:p>
      <w:pPr>
        <w:spacing w:line="360" w:lineRule="auto"/>
        <w:ind w:firstLine="735" w:firstLineChars="350"/>
        <w:jc w:val="left"/>
        <w:rPr>
          <w:rFonts w:hint="eastAsia" w:ascii="宋体" w:hAnsi="宋体"/>
          <w:szCs w:val="21"/>
        </w:rPr>
      </w:pPr>
      <w:r>
        <w:rPr>
          <w:rFonts w:hint="eastAsia" w:ascii="宋体" w:hAnsi="宋体"/>
          <w:szCs w:val="21"/>
          <w:lang w:val="en-US" w:eastAsia="zh-CN"/>
        </w:rPr>
        <w:t>9</w:t>
      </w:r>
      <w:r>
        <w:rPr>
          <w:rFonts w:hint="eastAsia" w:ascii="宋体" w:hAnsi="宋体"/>
          <w:szCs w:val="21"/>
        </w:rPr>
        <w:t>.第二外国语选课要求：只有研二以上和博士生可以选修二外课程。</w:t>
      </w:r>
    </w:p>
    <w:p>
      <w:pPr>
        <w:spacing w:line="360" w:lineRule="auto"/>
        <w:ind w:left="1155" w:leftChars="400" w:hanging="315" w:hangingChars="150"/>
        <w:jc w:val="left"/>
        <w:rPr>
          <w:rFonts w:hint="eastAsia" w:ascii="宋体" w:hAnsi="宋体"/>
          <w:szCs w:val="21"/>
          <w:lang w:eastAsia="zh-CN"/>
        </w:rPr>
      </w:pPr>
      <w:r>
        <w:rPr>
          <w:rFonts w:hint="eastAsia" w:ascii="宋体" w:hAnsi="宋体"/>
          <w:szCs w:val="21"/>
          <w:lang w:val="en-US" w:eastAsia="zh-CN"/>
        </w:rPr>
        <w:t>10.</w:t>
      </w:r>
      <w:r>
        <w:rPr>
          <w:rFonts w:hint="eastAsia" w:ascii="宋体" w:hAnsi="宋体"/>
          <w:szCs w:val="21"/>
        </w:rPr>
        <w:t>选择跨专业课程</w:t>
      </w:r>
      <w:r>
        <w:rPr>
          <w:rFonts w:hint="eastAsia" w:ascii="宋体" w:hAnsi="宋体"/>
          <w:szCs w:val="21"/>
          <w:lang w:eastAsia="zh-CN"/>
        </w:rPr>
        <w:t>（</w:t>
      </w:r>
      <w:r>
        <w:rPr>
          <w:rFonts w:hint="eastAsia" w:ascii="宋体" w:hAnsi="宋体"/>
          <w:szCs w:val="21"/>
          <w:lang w:val="en-US" w:eastAsia="zh-CN"/>
        </w:rPr>
        <w:t>详见《研究生教育综合管理系统（学生）操作手册》说明）</w:t>
      </w:r>
      <w:r>
        <w:rPr>
          <w:rFonts w:hint="eastAsia" w:ascii="宋体" w:hAnsi="宋体"/>
          <w:szCs w:val="21"/>
        </w:rPr>
        <w:br w:type="textWrapping"/>
      </w:r>
      <w:r>
        <w:rPr>
          <w:rFonts w:hint="eastAsia" w:ascii="宋体" w:hAnsi="宋体"/>
          <w:szCs w:val="21"/>
        </w:rPr>
        <w:t>点击“增加跨专业课程”按钮。</w:t>
      </w:r>
      <w:r>
        <w:rPr>
          <w:rFonts w:hint="eastAsia" w:ascii="宋体" w:hAnsi="宋体"/>
          <w:szCs w:val="21"/>
        </w:rPr>
        <w:br w:type="textWrapping"/>
      </w:r>
      <w:r>
        <w:rPr>
          <w:rFonts w:hint="eastAsia" w:ascii="宋体" w:hAnsi="宋体"/>
          <w:szCs w:val="21"/>
        </w:rPr>
        <w:t>为鼓励研究生跨专业选课，在制定“个人学习计划”时，研究生可将至多 2 门外专业课</w:t>
      </w:r>
      <w:r>
        <w:rPr>
          <w:rFonts w:hint="eastAsia" w:ascii="宋体" w:hAnsi="宋体"/>
          <w:szCs w:val="21"/>
        </w:rPr>
        <w:br w:type="textWrapping"/>
      </w:r>
      <w:r>
        <w:rPr>
          <w:rFonts w:hint="eastAsia" w:ascii="宋体" w:hAnsi="宋体"/>
          <w:szCs w:val="21"/>
        </w:rPr>
        <w:t>纳入“个人学习计划”（每门课学分为该课程的学分且小于等于 2 学分）。此部分课程在</w:t>
      </w:r>
      <w:r>
        <w:rPr>
          <w:rFonts w:hint="eastAsia" w:ascii="宋体" w:hAnsi="宋体"/>
          <w:szCs w:val="21"/>
        </w:rPr>
        <w:br w:type="textWrapping"/>
      </w:r>
      <w:r>
        <w:rPr>
          <w:rFonts w:hint="eastAsia" w:ascii="宋体" w:hAnsi="宋体"/>
          <w:szCs w:val="21"/>
        </w:rPr>
        <w:t>学生成绩单上显示为“专业选修课（外专业）”，计入总学分，在毕业学分审核时，作为</w:t>
      </w:r>
      <w:r>
        <w:rPr>
          <w:rFonts w:hint="eastAsia" w:ascii="宋体" w:hAnsi="宋体"/>
          <w:szCs w:val="21"/>
        </w:rPr>
        <w:br w:type="textWrapping"/>
      </w:r>
      <w:r>
        <w:rPr>
          <w:rFonts w:hint="eastAsia" w:ascii="宋体" w:hAnsi="宋体"/>
          <w:szCs w:val="21"/>
        </w:rPr>
        <w:t>有效学分视为专业选修课。</w:t>
      </w:r>
      <w:r>
        <w:rPr>
          <w:rFonts w:hint="eastAsia" w:ascii="宋体" w:hAnsi="宋体"/>
          <w:szCs w:val="21"/>
        </w:rPr>
        <w:br w:type="textWrapping"/>
      </w:r>
      <w:r>
        <w:rPr>
          <w:rFonts w:hint="eastAsia" w:ascii="宋体" w:hAnsi="宋体"/>
          <w:szCs w:val="21"/>
        </w:rPr>
        <w:t>如学生学有余力，需要修读更多外专业课程，超出 2 门的外专业课程，不能纳入“个人</w:t>
      </w:r>
      <w:r>
        <w:rPr>
          <w:rFonts w:hint="eastAsia" w:ascii="宋体" w:hAnsi="宋体"/>
          <w:szCs w:val="21"/>
        </w:rPr>
        <w:br w:type="textWrapping"/>
      </w:r>
      <w:r>
        <w:rPr>
          <w:rFonts w:hint="eastAsia" w:ascii="宋体" w:hAnsi="宋体"/>
          <w:szCs w:val="21"/>
        </w:rPr>
        <w:t>学习计划”。但在选课时可通过“课程搜索”进行选课。此部分课程在学生成绩单上显</w:t>
      </w:r>
      <w:r>
        <w:rPr>
          <w:rFonts w:hint="eastAsia" w:ascii="宋体" w:hAnsi="宋体"/>
          <w:szCs w:val="21"/>
        </w:rPr>
        <w:br w:type="textWrapping"/>
      </w:r>
      <w:r>
        <w:rPr>
          <w:rFonts w:hint="eastAsia" w:ascii="宋体" w:hAnsi="宋体"/>
          <w:szCs w:val="21"/>
        </w:rPr>
        <w:t>示为“专业选修课（外专业）”，计入总学分，但不作为有效学分计入毕业学分审核</w:t>
      </w:r>
      <w:r>
        <w:rPr>
          <w:rFonts w:hint="eastAsia" w:ascii="宋体" w:hAnsi="宋体"/>
          <w:szCs w:val="21"/>
          <w:lang w:eastAsia="zh-CN"/>
        </w:rPr>
        <w:t>。</w:t>
      </w:r>
    </w:p>
    <w:p>
      <w:pPr>
        <w:spacing w:line="360" w:lineRule="auto"/>
        <w:ind w:firstLine="735" w:firstLineChars="350"/>
        <w:jc w:val="left"/>
        <w:rPr>
          <w:rFonts w:hint="eastAsia" w:ascii="宋体" w:hAnsi="宋体"/>
          <w:szCs w:val="21"/>
        </w:rPr>
      </w:pPr>
    </w:p>
    <w:p>
      <w:pPr>
        <w:jc w:val="left"/>
      </w:pPr>
    </w:p>
    <w:sectPr>
      <w:pgSz w:w="11906" w:h="16838"/>
      <w:pgMar w:top="1440" w:right="1230" w:bottom="1440" w:left="123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Time NEw Roman">
    <w:altName w:val="Times New Roman"/>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docVars>
    <w:docVar w:name="commondata" w:val="eyJoZGlkIjoiM2U1YWU0NWJhY2I3Zjc1YzBiZGViZGE3YmUwYzYyZjYifQ=="/>
  </w:docVars>
  <w:rsids>
    <w:rsidRoot w:val="00E37363"/>
    <w:rsid w:val="000003F6"/>
    <w:rsid w:val="00007677"/>
    <w:rsid w:val="00044D58"/>
    <w:rsid w:val="000601F4"/>
    <w:rsid w:val="00081040"/>
    <w:rsid w:val="00096EAD"/>
    <w:rsid w:val="000B1EC7"/>
    <w:rsid w:val="000D5EC8"/>
    <w:rsid w:val="001330F6"/>
    <w:rsid w:val="0016268A"/>
    <w:rsid w:val="00174FF5"/>
    <w:rsid w:val="00175039"/>
    <w:rsid w:val="00185B5E"/>
    <w:rsid w:val="001B7A51"/>
    <w:rsid w:val="001C643B"/>
    <w:rsid w:val="001E1C8B"/>
    <w:rsid w:val="00203FCE"/>
    <w:rsid w:val="00236924"/>
    <w:rsid w:val="002739EC"/>
    <w:rsid w:val="00277F3F"/>
    <w:rsid w:val="002B4002"/>
    <w:rsid w:val="002E2C4B"/>
    <w:rsid w:val="002F2921"/>
    <w:rsid w:val="0031712F"/>
    <w:rsid w:val="00333423"/>
    <w:rsid w:val="0035399C"/>
    <w:rsid w:val="0036211E"/>
    <w:rsid w:val="00371426"/>
    <w:rsid w:val="003A76E1"/>
    <w:rsid w:val="003B5B3A"/>
    <w:rsid w:val="003C46E8"/>
    <w:rsid w:val="003C7EEA"/>
    <w:rsid w:val="003E7BA2"/>
    <w:rsid w:val="00492E1F"/>
    <w:rsid w:val="00496491"/>
    <w:rsid w:val="004A42B2"/>
    <w:rsid w:val="004E1915"/>
    <w:rsid w:val="00516466"/>
    <w:rsid w:val="00584866"/>
    <w:rsid w:val="005B34ED"/>
    <w:rsid w:val="005E1BFC"/>
    <w:rsid w:val="005E3D6F"/>
    <w:rsid w:val="006031C9"/>
    <w:rsid w:val="00616D64"/>
    <w:rsid w:val="00620F6A"/>
    <w:rsid w:val="006245E6"/>
    <w:rsid w:val="006246B2"/>
    <w:rsid w:val="00635584"/>
    <w:rsid w:val="00667DDD"/>
    <w:rsid w:val="006718C2"/>
    <w:rsid w:val="00694A26"/>
    <w:rsid w:val="006B412F"/>
    <w:rsid w:val="006B558D"/>
    <w:rsid w:val="006B5E9D"/>
    <w:rsid w:val="006C42C8"/>
    <w:rsid w:val="006E3DA7"/>
    <w:rsid w:val="006E6938"/>
    <w:rsid w:val="0071277D"/>
    <w:rsid w:val="00737C70"/>
    <w:rsid w:val="00741929"/>
    <w:rsid w:val="00757CE1"/>
    <w:rsid w:val="007725E2"/>
    <w:rsid w:val="007C155F"/>
    <w:rsid w:val="007D4CF7"/>
    <w:rsid w:val="007E4829"/>
    <w:rsid w:val="008328F9"/>
    <w:rsid w:val="00856722"/>
    <w:rsid w:val="00860914"/>
    <w:rsid w:val="008A4564"/>
    <w:rsid w:val="008E2E10"/>
    <w:rsid w:val="00926DC6"/>
    <w:rsid w:val="009745BD"/>
    <w:rsid w:val="009D6B19"/>
    <w:rsid w:val="009D6D21"/>
    <w:rsid w:val="009F1D85"/>
    <w:rsid w:val="00A316CD"/>
    <w:rsid w:val="00A54239"/>
    <w:rsid w:val="00A867C1"/>
    <w:rsid w:val="00AA7A26"/>
    <w:rsid w:val="00AD2E36"/>
    <w:rsid w:val="00AD5D40"/>
    <w:rsid w:val="00B725EB"/>
    <w:rsid w:val="00B8502E"/>
    <w:rsid w:val="00BB7698"/>
    <w:rsid w:val="00C37635"/>
    <w:rsid w:val="00C5299B"/>
    <w:rsid w:val="00C76D01"/>
    <w:rsid w:val="00CA6DF0"/>
    <w:rsid w:val="00CD267C"/>
    <w:rsid w:val="00CE3E70"/>
    <w:rsid w:val="00CF1F18"/>
    <w:rsid w:val="00D02F34"/>
    <w:rsid w:val="00D12E7B"/>
    <w:rsid w:val="00D139B4"/>
    <w:rsid w:val="00D2212B"/>
    <w:rsid w:val="00D55680"/>
    <w:rsid w:val="00D65E4A"/>
    <w:rsid w:val="00D7421B"/>
    <w:rsid w:val="00DA526B"/>
    <w:rsid w:val="00DB14FB"/>
    <w:rsid w:val="00DC51D7"/>
    <w:rsid w:val="00DD2FCD"/>
    <w:rsid w:val="00DD43A4"/>
    <w:rsid w:val="00E01B6B"/>
    <w:rsid w:val="00E37363"/>
    <w:rsid w:val="00E40585"/>
    <w:rsid w:val="00E44C14"/>
    <w:rsid w:val="00E73677"/>
    <w:rsid w:val="00E979AB"/>
    <w:rsid w:val="00EA0297"/>
    <w:rsid w:val="00EA6911"/>
    <w:rsid w:val="00ED61C2"/>
    <w:rsid w:val="00EE0C36"/>
    <w:rsid w:val="00EE0CE9"/>
    <w:rsid w:val="00EE28F4"/>
    <w:rsid w:val="00EF3D67"/>
    <w:rsid w:val="00F33A0B"/>
    <w:rsid w:val="00F939B4"/>
    <w:rsid w:val="00FB3945"/>
    <w:rsid w:val="00FD1573"/>
    <w:rsid w:val="00FE7949"/>
    <w:rsid w:val="00FF142E"/>
    <w:rsid w:val="00FF4BD5"/>
    <w:rsid w:val="00FF7B1E"/>
    <w:rsid w:val="013C53CB"/>
    <w:rsid w:val="06896E5D"/>
    <w:rsid w:val="073254BB"/>
    <w:rsid w:val="0D580427"/>
    <w:rsid w:val="0E096026"/>
    <w:rsid w:val="0F68360A"/>
    <w:rsid w:val="10A4771E"/>
    <w:rsid w:val="12E004D7"/>
    <w:rsid w:val="12EF06D5"/>
    <w:rsid w:val="1D704B4F"/>
    <w:rsid w:val="21060309"/>
    <w:rsid w:val="21301AF1"/>
    <w:rsid w:val="22D67A42"/>
    <w:rsid w:val="29371074"/>
    <w:rsid w:val="32F91DE0"/>
    <w:rsid w:val="34DF5EBD"/>
    <w:rsid w:val="36EC39C9"/>
    <w:rsid w:val="3BBC4D18"/>
    <w:rsid w:val="3D1029DE"/>
    <w:rsid w:val="3DEF663D"/>
    <w:rsid w:val="3EF04485"/>
    <w:rsid w:val="3F0D2C66"/>
    <w:rsid w:val="3F815847"/>
    <w:rsid w:val="40587A46"/>
    <w:rsid w:val="4094549A"/>
    <w:rsid w:val="4430254E"/>
    <w:rsid w:val="446468CB"/>
    <w:rsid w:val="45DF4BAB"/>
    <w:rsid w:val="46CB63BD"/>
    <w:rsid w:val="48672B57"/>
    <w:rsid w:val="48FD3304"/>
    <w:rsid w:val="4AAA7359"/>
    <w:rsid w:val="4BAD02FD"/>
    <w:rsid w:val="4C056BED"/>
    <w:rsid w:val="4CFB6BDE"/>
    <w:rsid w:val="4E9D5D56"/>
    <w:rsid w:val="4F2D51E8"/>
    <w:rsid w:val="51DA3CF4"/>
    <w:rsid w:val="51F5243B"/>
    <w:rsid w:val="558F20E4"/>
    <w:rsid w:val="5A337BB2"/>
    <w:rsid w:val="5F361DD2"/>
    <w:rsid w:val="62B075A6"/>
    <w:rsid w:val="636C3703"/>
    <w:rsid w:val="64A907CE"/>
    <w:rsid w:val="6B81674A"/>
    <w:rsid w:val="70F63E15"/>
    <w:rsid w:val="795F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mbria" w:hAnsi="Cambria" w:eastAsia="宋体" w:cs="Cambria"/>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mbria" w:hAnsi="Cambria" w:eastAsia="Cambria" w:cs="Cambria"/>
      <w:sz w:val="20"/>
      <w:szCs w:val="20"/>
    </w:rPr>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character" w:customStyle="1" w:styleId="9">
    <w:name w:val="fontstyle21"/>
    <w:basedOn w:val="5"/>
    <w:qFormat/>
    <w:uiPriority w:val="0"/>
    <w:rPr>
      <w:rFonts w:hint="eastAsia" w:ascii="宋体" w:hAnsi="宋体" w:eastAsia="宋体" w:cs="宋体"/>
      <w:color w:val="000000"/>
      <w:sz w:val="24"/>
      <w:szCs w:val="24"/>
    </w:rPr>
  </w:style>
  <w:style w:type="character" w:customStyle="1" w:styleId="10">
    <w:name w:val="fontstyle31"/>
    <w:basedOn w:val="5"/>
    <w:qFormat/>
    <w:uiPriority w:val="0"/>
    <w:rPr>
      <w:rFonts w:hint="default" w:ascii="Calibri" w:hAnsi="Calibri" w:cs="Calibri"/>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1681</Words>
  <Characters>2137</Characters>
  <Lines>20</Lines>
  <Paragraphs>5</Paragraphs>
  <TotalTime>1</TotalTime>
  <ScaleCrop>false</ScaleCrop>
  <LinksUpToDate>false</LinksUpToDate>
  <CharactersWithSpaces>2165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2018-09-19T03:12:00Z</dcterms:created>
  <dc:creator>dell</dc:creator>
  <cp:lastModifiedBy>郑丽</cp:lastModifiedBy>
  <cp:lastPrinted>2020-09-12T02:05:00Z</cp:lastPrinted>
  <dcterms:modified xsi:type="dcterms:W3CDTF">2023-09-01T01:47:09Z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56DB78EE637E4FA69258FD836FCCE286</vt:lpwstr>
  </property>
</Properties>
</file>