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both"/>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2021级及以后学生任选课处理方案</w:t>
      </w:r>
    </w:p>
    <w:bookmarkEnd w:id="0"/>
    <w:p>
      <w:pPr>
        <w:keepNext w:val="0"/>
        <w:keepLines w:val="0"/>
        <w:widowControl/>
        <w:suppressLineNumbers w:val="0"/>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南开大学2021年本科专业培养方案修订工作方案》规定，通识选修课程设置包括六个模块：公能素质和服务中国、艺术审美与文化思辨、科学精神与健康生活、社会发展与国家治理、工程素养与未来科技、世界文明与国际视野。学生原则上需在六个模块中至少选择四个模块修读，每模块修满不少于2学分课程。其余学分可以继续修读通识选修模块课程，也可以修读其他学院开设的跨学院课程或参加国际交流学习研究、境外课程认定学分补足。</w:t>
      </w:r>
    </w:p>
    <w:p>
      <w:pPr>
        <w:numPr>
          <w:ilvl w:val="0"/>
          <w:numId w:val="0"/>
        </w:numPr>
        <w:ind w:firstLine="72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实行通识课按模块划分后，学生培养方案以外的课程将会以任选课形式，在学生成绩单中予以体现。主要包括以下几类：转专业课程、跨专业选课课程、学生退辅修课程、学生校外交流课程中无法认定为本专业课程等。</w:t>
      </w:r>
    </w:p>
    <w:p>
      <w:pPr>
        <w:numPr>
          <w:ilvl w:val="0"/>
          <w:numId w:val="0"/>
        </w:numPr>
        <w:ind w:firstLine="72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为解决以上学生任选课过多无法纳入培养计划的问题，同时坚持学校通识选修课模块化设置的初衷，特制定以下具体操作方案。</w:t>
      </w:r>
    </w:p>
    <w:p>
      <w:pPr>
        <w:numPr>
          <w:ilvl w:val="0"/>
          <w:numId w:val="1"/>
        </w:numPr>
        <w:ind w:firstLine="72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涉及学生范围</w:t>
      </w:r>
    </w:p>
    <w:p>
      <w:pPr>
        <w:numPr>
          <w:ilvl w:val="0"/>
          <w:numId w:val="0"/>
        </w:numPr>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2021级及以后年级学生，因退辅修、转专业、跨专业选课等，课程类型变为任选课，需要对应培养方案学分的，可进行学分类型转换。</w:t>
      </w:r>
    </w:p>
    <w:p>
      <w:pPr>
        <w:numPr>
          <w:ilvl w:val="0"/>
          <w:numId w:val="1"/>
        </w:numPr>
        <w:ind w:firstLine="72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课程类型转换具体操作办法</w:t>
      </w:r>
    </w:p>
    <w:p>
      <w:pPr>
        <w:numPr>
          <w:ilvl w:val="-1"/>
          <w:numId w:val="0"/>
        </w:numPr>
        <w:ind w:left="0" w:leftChars="0" w:firstLine="640" w:firstLineChars="20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（一）课程归属模块及开课单位对应关系</w:t>
      </w:r>
    </w:p>
    <w:tbl>
      <w:tblPr>
        <w:tblStyle w:val="2"/>
        <w:tblW w:w="887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3"/>
        <w:gridCol w:w="6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b/>
                <w:bCs/>
                <w:i w:val="0"/>
                <w:iCs w:val="0"/>
                <w:color w:val="000000"/>
                <w:kern w:val="0"/>
                <w:sz w:val="28"/>
                <w:szCs w:val="28"/>
                <w:u w:val="none"/>
                <w:lang w:val="en-US" w:eastAsia="zh-CN" w:bidi="ar"/>
              </w:rPr>
              <w:t>模块划分</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涉及学院课程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工程素养与未来科技</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药学院</w:t>
            </w:r>
            <w:r>
              <w:rPr>
                <w:rFonts w:hint="eastAsia" w:ascii="仿宋" w:hAnsi="仿宋" w:eastAsia="仿宋" w:cs="仿宋"/>
                <w:i w:val="0"/>
                <w:iCs w:val="0"/>
                <w:color w:val="000000"/>
                <w:sz w:val="24"/>
                <w:szCs w:val="24"/>
                <w:u w:val="none"/>
                <w:lang w:eastAsia="zh-CN"/>
              </w:rPr>
              <w:t>、材料科学与工程学院、电子信息与光学工程学院、环境科学与工程学院、计算机学院、网络空间安全学院、人工智能学院、软件学院、数学</w:t>
            </w:r>
            <w:r>
              <w:rPr>
                <w:rFonts w:hint="eastAsia" w:ascii="仿宋" w:hAnsi="仿宋" w:eastAsia="仿宋" w:cs="仿宋"/>
                <w:i w:val="0"/>
                <w:iCs w:val="0"/>
                <w:color w:val="000000"/>
                <w:sz w:val="24"/>
                <w:szCs w:val="24"/>
                <w:u w:val="none"/>
                <w:lang w:val="en-US" w:eastAsia="zh-CN"/>
              </w:rPr>
              <w:t>科学</w:t>
            </w:r>
            <w:r>
              <w:rPr>
                <w:rFonts w:hint="eastAsia" w:ascii="仿宋" w:hAnsi="仿宋" w:eastAsia="仿宋" w:cs="仿宋"/>
                <w:i w:val="0"/>
                <w:iCs w:val="0"/>
                <w:color w:val="000000"/>
                <w:sz w:val="24"/>
                <w:szCs w:val="24"/>
                <w:u w:val="none"/>
                <w:lang w:eastAsia="zh-CN"/>
              </w:rPr>
              <w:t>学院、物理</w:t>
            </w:r>
            <w:r>
              <w:rPr>
                <w:rFonts w:hint="eastAsia" w:ascii="仿宋" w:hAnsi="仿宋" w:eastAsia="仿宋" w:cs="仿宋"/>
                <w:i w:val="0"/>
                <w:iCs w:val="0"/>
                <w:color w:val="000000"/>
                <w:sz w:val="24"/>
                <w:szCs w:val="24"/>
                <w:u w:val="none"/>
                <w:lang w:val="en-US" w:eastAsia="zh-CN"/>
              </w:rPr>
              <w:t>科学</w:t>
            </w:r>
            <w:r>
              <w:rPr>
                <w:rFonts w:hint="eastAsia" w:ascii="仿宋" w:hAnsi="仿宋" w:eastAsia="仿宋" w:cs="仿宋"/>
                <w:i w:val="0"/>
                <w:iCs w:val="0"/>
                <w:color w:val="000000"/>
                <w:sz w:val="24"/>
                <w:szCs w:val="24"/>
                <w:u w:val="none"/>
                <w:lang w:eastAsia="zh-CN"/>
              </w:rPr>
              <w:t>学院、化学学院、生命科学学院、统计与数据科学学院、医学院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公能素质和服务中国</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旅游与服务学院</w:t>
            </w:r>
            <w:r>
              <w:rPr>
                <w:rFonts w:hint="eastAsia" w:ascii="仿宋" w:hAnsi="仿宋" w:eastAsia="仿宋" w:cs="仿宋"/>
                <w:i w:val="0"/>
                <w:iCs w:val="0"/>
                <w:color w:val="000000"/>
                <w:sz w:val="24"/>
                <w:szCs w:val="24"/>
                <w:u w:val="none"/>
                <w:lang w:eastAsia="zh-CN"/>
              </w:rPr>
              <w:t>、历史学院、哲学院、法学院、周恩来政府管理学院、文学院、新闻与传播学院、外国语学院、经济学院、商学院、马克思主义学院、</w:t>
            </w:r>
            <w:r>
              <w:rPr>
                <w:rFonts w:hint="eastAsia" w:ascii="仿宋" w:hAnsi="仿宋" w:eastAsia="仿宋" w:cs="仿宋"/>
                <w:i w:val="0"/>
                <w:iCs w:val="0"/>
                <w:color w:val="000000"/>
                <w:sz w:val="24"/>
                <w:szCs w:val="24"/>
                <w:u w:val="none"/>
                <w:lang w:val="en-US" w:eastAsia="zh-CN"/>
              </w:rPr>
              <w:t>金融学院、汉语言文化学院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科学精神与健康生活</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药学院</w:t>
            </w:r>
            <w:r>
              <w:rPr>
                <w:rFonts w:hint="eastAsia" w:ascii="仿宋" w:hAnsi="仿宋" w:eastAsia="仿宋" w:cs="仿宋"/>
                <w:i w:val="0"/>
                <w:iCs w:val="0"/>
                <w:color w:val="000000"/>
                <w:sz w:val="24"/>
                <w:szCs w:val="24"/>
                <w:u w:val="none"/>
                <w:lang w:eastAsia="zh-CN"/>
              </w:rPr>
              <w:t>、材料科学与工程学院、电子信息与光学工程学院、环境科学与工程学院、计算机学院、网络空间安全学院、人工智能学院、软件学院、数学</w:t>
            </w:r>
            <w:r>
              <w:rPr>
                <w:rFonts w:hint="eastAsia" w:ascii="仿宋" w:hAnsi="仿宋" w:eastAsia="仿宋" w:cs="仿宋"/>
                <w:i w:val="0"/>
                <w:iCs w:val="0"/>
                <w:color w:val="000000"/>
                <w:sz w:val="24"/>
                <w:szCs w:val="24"/>
                <w:u w:val="none"/>
                <w:lang w:val="en-US" w:eastAsia="zh-CN"/>
              </w:rPr>
              <w:t>科学</w:t>
            </w:r>
            <w:r>
              <w:rPr>
                <w:rFonts w:hint="eastAsia" w:ascii="仿宋" w:hAnsi="仿宋" w:eastAsia="仿宋" w:cs="仿宋"/>
                <w:i w:val="0"/>
                <w:iCs w:val="0"/>
                <w:color w:val="000000"/>
                <w:sz w:val="24"/>
                <w:szCs w:val="24"/>
                <w:u w:val="none"/>
                <w:lang w:eastAsia="zh-CN"/>
              </w:rPr>
              <w:t>学院、物理</w:t>
            </w:r>
            <w:r>
              <w:rPr>
                <w:rFonts w:hint="eastAsia" w:ascii="仿宋" w:hAnsi="仿宋" w:eastAsia="仿宋" w:cs="仿宋"/>
                <w:i w:val="0"/>
                <w:iCs w:val="0"/>
                <w:color w:val="000000"/>
                <w:sz w:val="24"/>
                <w:szCs w:val="24"/>
                <w:u w:val="none"/>
                <w:lang w:val="en-US" w:eastAsia="zh-CN"/>
              </w:rPr>
              <w:t>科学</w:t>
            </w:r>
            <w:r>
              <w:rPr>
                <w:rFonts w:hint="eastAsia" w:ascii="仿宋" w:hAnsi="仿宋" w:eastAsia="仿宋" w:cs="仿宋"/>
                <w:i w:val="0"/>
                <w:iCs w:val="0"/>
                <w:color w:val="000000"/>
                <w:sz w:val="24"/>
                <w:szCs w:val="24"/>
                <w:u w:val="none"/>
                <w:lang w:eastAsia="zh-CN"/>
              </w:rPr>
              <w:t>学院、化学学院、生命科学学院、统计与数据科学学院、医学院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社会发展与国家治理</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法学院、周恩来政府管理学院、</w:t>
            </w:r>
            <w:r>
              <w:rPr>
                <w:rFonts w:hint="eastAsia" w:ascii="仿宋" w:hAnsi="仿宋" w:eastAsia="仿宋" w:cs="仿宋"/>
                <w:i w:val="0"/>
                <w:iCs w:val="0"/>
                <w:color w:val="000000"/>
                <w:sz w:val="24"/>
                <w:szCs w:val="24"/>
                <w:u w:val="none"/>
                <w:lang w:eastAsia="zh-CN"/>
              </w:rPr>
              <w:t>新闻与传播学院</w:t>
            </w:r>
            <w:r>
              <w:rPr>
                <w:rFonts w:hint="eastAsia" w:ascii="仿宋" w:hAnsi="仿宋" w:eastAsia="仿宋" w:cs="仿宋"/>
                <w:i w:val="0"/>
                <w:iCs w:val="0"/>
                <w:color w:val="000000"/>
                <w:kern w:val="0"/>
                <w:sz w:val="24"/>
                <w:szCs w:val="24"/>
                <w:u w:val="none"/>
                <w:lang w:val="en-US" w:eastAsia="zh-CN" w:bidi="ar"/>
              </w:rPr>
              <w:t>、经济学院、金融学院、商学院、</w:t>
            </w:r>
            <w:r>
              <w:rPr>
                <w:rFonts w:hint="eastAsia" w:ascii="仿宋" w:hAnsi="仿宋" w:eastAsia="仿宋" w:cs="仿宋"/>
                <w:i w:val="0"/>
                <w:iCs w:val="0"/>
                <w:color w:val="000000"/>
                <w:sz w:val="24"/>
                <w:szCs w:val="24"/>
                <w:u w:val="none"/>
                <w:lang w:eastAsia="zh-CN"/>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世界文明与国际视野</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历史学院、外国语学院、</w:t>
            </w:r>
            <w:r>
              <w:rPr>
                <w:rFonts w:hint="eastAsia" w:ascii="仿宋" w:hAnsi="仿宋" w:eastAsia="仿宋" w:cs="仿宋"/>
                <w:i w:val="0"/>
                <w:iCs w:val="0"/>
                <w:color w:val="000000"/>
                <w:kern w:val="0"/>
                <w:sz w:val="24"/>
                <w:szCs w:val="24"/>
                <w:u w:val="none"/>
                <w:lang w:val="en-US" w:eastAsia="zh-CN" w:bidi="ar"/>
              </w:rPr>
              <w:t>旅游与服务学院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艺术审美与文化思辨</w:t>
            </w:r>
          </w:p>
        </w:tc>
        <w:tc>
          <w:tcPr>
            <w:tcW w:w="6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文学院、哲学院、汉语言文化学院</w:t>
            </w:r>
          </w:p>
        </w:tc>
      </w:tr>
    </w:tbl>
    <w:p>
      <w:pPr>
        <w:numPr>
          <w:ilvl w:val="0"/>
          <w:numId w:val="0"/>
        </w:numPr>
        <w:ind w:firstLine="640"/>
        <w:jc w:val="left"/>
        <w:rPr>
          <w:rFonts w:hint="default" w:ascii="楷体" w:hAnsi="楷体" w:eastAsia="楷体" w:cs="楷体"/>
          <w:color w:val="000000"/>
          <w:kern w:val="0"/>
          <w:sz w:val="21"/>
          <w:szCs w:val="21"/>
          <w:highlight w:val="none"/>
          <w:lang w:val="en-US" w:eastAsia="zh-CN" w:bidi="ar"/>
        </w:rPr>
      </w:pPr>
      <w:r>
        <w:rPr>
          <w:rFonts w:hint="eastAsia" w:ascii="楷体" w:hAnsi="楷体" w:eastAsia="楷体" w:cs="楷体"/>
          <w:color w:val="000000"/>
          <w:kern w:val="0"/>
          <w:sz w:val="21"/>
          <w:szCs w:val="21"/>
          <w:highlight w:val="none"/>
          <w:lang w:val="en-US" w:eastAsia="zh-CN" w:bidi="ar"/>
        </w:rPr>
        <w:t>注：公共教学部从属学院：大学语文教学部从属文学院，高等数学教学部从属数学科学学院，公共计算机基础教学部从属计算机学院，公共英语教学部从属外国语学院，大学物理教学部从属物理科学学院，马克思主义基础理论教学部从属马克思主义学院。</w:t>
      </w:r>
    </w:p>
    <w:p>
      <w:pPr>
        <w:numPr>
          <w:ilvl w:val="0"/>
          <w:numId w:val="0"/>
        </w:numPr>
        <w:ind w:firstLine="64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（二）转换规则</w:t>
      </w:r>
    </w:p>
    <w:p>
      <w:pPr>
        <w:numPr>
          <w:ilvl w:val="0"/>
          <w:numId w:val="0"/>
        </w:numPr>
        <w:ind w:firstLine="64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highlight w:val="none"/>
          <w:lang w:val="en-US" w:eastAsia="zh-CN" w:bidi="ar"/>
        </w:rPr>
        <w:t>所有校内任选课的课程类型转换原则上只根据课程的开课单位而定，且</w:t>
      </w:r>
      <w:r>
        <w:rPr>
          <w:rFonts w:hint="eastAsia" w:ascii="仿宋" w:hAnsi="仿宋" w:eastAsia="仿宋" w:cs="仿宋"/>
          <w:color w:val="000000"/>
          <w:kern w:val="0"/>
          <w:sz w:val="32"/>
          <w:szCs w:val="32"/>
          <w:lang w:val="en-US" w:eastAsia="zh-CN" w:bidi="ar"/>
        </w:rPr>
        <w:t>只转换已取得成绩的课程，不转换正在修读课程。</w:t>
      </w:r>
    </w:p>
    <w:p>
      <w:pPr>
        <w:numPr>
          <w:ilvl w:val="0"/>
          <w:numId w:val="0"/>
        </w:numPr>
        <w:ind w:firstLine="640"/>
        <w:jc w:val="left"/>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校外交流课程可根据课程内容申请认定归属的模块，只认定已获得校外学分的课程，不转换修读不合格的课程。</w:t>
      </w:r>
    </w:p>
    <w:p>
      <w:pPr>
        <w:numPr>
          <w:ilvl w:val="-1"/>
          <w:numId w:val="0"/>
        </w:numPr>
        <w:ind w:left="0" w:firstLine="640" w:firstLineChars="20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（三）转换流程</w:t>
      </w:r>
    </w:p>
    <w:p>
      <w:pPr>
        <w:numPr>
          <w:ilvl w:val="-1"/>
          <w:numId w:val="0"/>
        </w:numPr>
        <w:ind w:left="800" w:firstLine="0" w:firstLineChars="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1.转专业课程及退辅修课程</w:t>
      </w:r>
    </w:p>
    <w:p>
      <w:pPr>
        <w:numPr>
          <w:ilvl w:val="0"/>
          <w:numId w:val="0"/>
        </w:num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每学期，教务处根据转专业名单或退辅修名单，按照课程归属模块与开课单位对应规则，统一在系统中进行课程类型修改。原则上教务处根据学生退出的修读专业所在学院对应的归属模块修改课程。每个学生的任选课最多只能转入2个通识选修课模块，转换学分不限。</w:t>
      </w:r>
    </w:p>
    <w:p>
      <w:pPr>
        <w:numPr>
          <w:ilvl w:val="0"/>
          <w:numId w:val="0"/>
        </w:num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2.跨专业选课课程</w:t>
      </w:r>
    </w:p>
    <w:p>
      <w:pPr>
        <w:numPr>
          <w:ilvl w:val="0"/>
          <w:numId w:val="0"/>
        </w:numPr>
        <w:ind w:firstLine="640" w:firstLineChars="200"/>
        <w:jc w:val="both"/>
        <w:rPr>
          <w:rFonts w:hint="default" w:ascii="仿宋" w:hAnsi="仿宋" w:eastAsia="仿宋" w:cs="仿宋"/>
          <w:color w:val="auto"/>
          <w:kern w:val="0"/>
          <w:sz w:val="32"/>
          <w:szCs w:val="32"/>
          <w:highlight w:val="yellow"/>
          <w:lang w:val="en-US" w:eastAsia="zh-CN" w:bidi="ar"/>
        </w:rPr>
      </w:pPr>
      <w:r>
        <w:rPr>
          <w:rFonts w:hint="eastAsia" w:ascii="仿宋" w:hAnsi="仿宋" w:eastAsia="仿宋" w:cs="仿宋"/>
          <w:color w:val="auto"/>
          <w:kern w:val="0"/>
          <w:sz w:val="32"/>
          <w:szCs w:val="32"/>
          <w:lang w:val="en-US" w:eastAsia="zh-CN" w:bidi="ar"/>
        </w:rPr>
        <w:t>每学期转专业、退辅修课程转换完毕，教务处将统计各学院跨专业选课形成的任选课转换课程类型申请，并统一在系统中进行课程类型转换。跨专业选课与转专业或退辅修同时存在时，跨专业选课课程将与转专业课程及退辅修课程一并批量处理，不再接受单独申请，依从转专业课程及退辅修课程的转换原则。</w:t>
      </w:r>
    </w:p>
    <w:p>
      <w:pPr>
        <w:numPr>
          <w:ilvl w:val="0"/>
          <w:numId w:val="0"/>
        </w:num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3.校外交流课程中无法认定为本专业的课程</w:t>
      </w:r>
    </w:p>
    <w:p>
      <w:pPr>
        <w:numPr>
          <w:ilvl w:val="0"/>
          <w:numId w:val="0"/>
        </w:numPr>
        <w:ind w:firstLine="640" w:firstLineChars="200"/>
        <w:jc w:val="both"/>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交流模块在教务系统上线前，学生在线下提交《南开大学本科生校外学习课程认定申请审批表》时，可根据课程内容申请归属相匹配的模块，经学院和教务部审批后，即可完成课程类型的转换。</w:t>
      </w:r>
    </w:p>
    <w:p>
      <w:pPr>
        <w:numPr>
          <w:ilvl w:val="0"/>
          <w:numId w:val="0"/>
        </w:num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交流模块在教务系统上线后，学生在系统提交校外学分认定申请时，可根据课程内容申请归属相匹配的模块。学院和教务处审批后，即可完成课程类型的转换。</w:t>
      </w:r>
    </w:p>
    <w:p>
      <w:pPr>
        <w:numPr>
          <w:ilvl w:val="0"/>
          <w:numId w:val="0"/>
        </w:numPr>
        <w:ind w:firstLine="640" w:firstLineChars="200"/>
        <w:jc w:val="both"/>
        <w:rPr>
          <w:rFonts w:hint="default"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7D2AAF-7580-4A18-A2F7-41F558C3C3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396995C-A210-4C7D-8F7A-309864D5E622}"/>
  </w:font>
  <w:font w:name="仿宋">
    <w:panose1 w:val="02010609060101010101"/>
    <w:charset w:val="86"/>
    <w:family w:val="auto"/>
    <w:pitch w:val="default"/>
    <w:sig w:usb0="800002BF" w:usb1="38CF7CFA" w:usb2="00000016" w:usb3="00000000" w:csb0="00040001" w:csb1="00000000"/>
    <w:embedRegular r:id="rId3" w:fontKey="{4A6CA498-3303-4065-B8CC-4D611EE90969}"/>
  </w:font>
  <w:font w:name="楷体">
    <w:panose1 w:val="02010609060101010101"/>
    <w:charset w:val="86"/>
    <w:family w:val="auto"/>
    <w:pitch w:val="default"/>
    <w:sig w:usb0="800002BF" w:usb1="38CF7CFA" w:usb2="00000016" w:usb3="00000000" w:csb0="00040001" w:csb1="00000000"/>
    <w:embedRegular r:id="rId4" w:fontKey="{847F99A3-CD67-49C6-8F4E-A87BC9C60B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4D9A3"/>
    <w:multiLevelType w:val="singleLevel"/>
    <w:tmpl w:val="4FA4D9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ZTQxY2EyOTQxODE3NDU2ZTUwMzk3MWM1MjI3MjUifQ=="/>
  </w:docVars>
  <w:rsids>
    <w:rsidRoot w:val="00000000"/>
    <w:rsid w:val="0ACF0C60"/>
    <w:rsid w:val="0C757AD2"/>
    <w:rsid w:val="103A0B88"/>
    <w:rsid w:val="171B5F78"/>
    <w:rsid w:val="184D1F79"/>
    <w:rsid w:val="27E465C2"/>
    <w:rsid w:val="28AD4C02"/>
    <w:rsid w:val="2D6F56A5"/>
    <w:rsid w:val="2DC25859"/>
    <w:rsid w:val="2ED929B3"/>
    <w:rsid w:val="2F0F4A34"/>
    <w:rsid w:val="33957634"/>
    <w:rsid w:val="33DD04A3"/>
    <w:rsid w:val="39A60455"/>
    <w:rsid w:val="39E430C3"/>
    <w:rsid w:val="3A1D04BE"/>
    <w:rsid w:val="3D905EFB"/>
    <w:rsid w:val="3D9F6285"/>
    <w:rsid w:val="3E120E4C"/>
    <w:rsid w:val="43AC4C52"/>
    <w:rsid w:val="53F964D2"/>
    <w:rsid w:val="599E785E"/>
    <w:rsid w:val="5E1E2116"/>
    <w:rsid w:val="5E5F0DE7"/>
    <w:rsid w:val="663E0B39"/>
    <w:rsid w:val="6A070E9A"/>
    <w:rsid w:val="6EA2262A"/>
    <w:rsid w:val="75EA52F0"/>
    <w:rsid w:val="762A5BDC"/>
    <w:rsid w:val="7630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1554</Words>
  <Characters>1566</Characters>
  <Lines>0</Lines>
  <Paragraphs>0</Paragraphs>
  <TotalTime>34</TotalTime>
  <ScaleCrop>false</ScaleCrop>
  <LinksUpToDate>false</LinksUpToDate>
  <CharactersWithSpaces>1569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lyh20</dc:creator>
  <cp:lastModifiedBy>吕小慧</cp:lastModifiedBy>
  <dcterms:modified xsi:type="dcterms:W3CDTF">2022-12-28T06:57:16Z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7A1024580D674A2099F95614458704F8</vt:lpwstr>
  </property>
</Properties>
</file>