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材料与化工专业培养方案课程设置与学分分配表</w:t>
      </w:r>
    </w:p>
    <w:tbl>
      <w:tblPr>
        <w:tblStyle w:val="4"/>
        <w:tblW w:w="9209" w:type="dxa"/>
        <w:jc w:val="center"/>
        <w:tblLayout w:type="fixed"/>
        <w:tblCellMar>
          <w:top w:w="0" w:type="dxa"/>
          <w:left w:w="108" w:type="dxa"/>
          <w:bottom w:w="0" w:type="dxa"/>
          <w:right w:w="108" w:type="dxa"/>
        </w:tblCellMar>
      </w:tblPr>
      <w:tblGrid>
        <w:gridCol w:w="426"/>
        <w:gridCol w:w="567"/>
        <w:gridCol w:w="1160"/>
        <w:gridCol w:w="2749"/>
        <w:gridCol w:w="568"/>
        <w:gridCol w:w="531"/>
        <w:gridCol w:w="821"/>
        <w:gridCol w:w="624"/>
        <w:gridCol w:w="244"/>
        <w:gridCol w:w="527"/>
        <w:gridCol w:w="425"/>
        <w:gridCol w:w="567"/>
      </w:tblGrid>
      <w:tr>
        <w:tblPrEx>
          <w:tblCellMar>
            <w:top w:w="0" w:type="dxa"/>
            <w:left w:w="108" w:type="dxa"/>
            <w:bottom w:w="0" w:type="dxa"/>
            <w:right w:w="108"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课程类别</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模块  名称</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课程编号</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课程名称</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学时</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学分</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授课学期</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授课方式</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选课要求</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学分要求</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开课院系</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必  修  课</w:t>
            </w:r>
          </w:p>
        </w:tc>
        <w:tc>
          <w:tcPr>
            <w:tcW w:w="56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公共课程</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90031201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新时代中国特色社会主义理论与实践</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公共必修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90031101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第一外国语（英语）</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05131020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工程伦理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jc w:val="center"/>
              <w:rPr>
                <w:rFonts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90031203</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自然辩证法概论</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jc w:val="center"/>
              <w:rPr>
                <w:rFonts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05131023</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学术规范与论文写作指导</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jc w:val="center"/>
              <w:rPr>
                <w:rFonts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专业基础课程</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05131002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工程数学基础</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05131003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化工原理基础</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选3</w:t>
            </w:r>
          </w:p>
          <w:p>
            <w:pPr>
              <w:jc w:val="center"/>
              <w:rPr>
                <w:rFonts w:ascii="宋体" w:hAnsi="宋体" w:cs="宋体"/>
              </w:rPr>
            </w:pPr>
            <w:r>
              <w:rPr>
                <w:rFonts w:hint="eastAsia" w:ascii="宋体" w:hAnsi="宋体" w:cs="宋体"/>
              </w:rPr>
              <w:t>-</w:t>
            </w:r>
          </w:p>
          <w:p>
            <w:pPr>
              <w:jc w:val="center"/>
              <w:rPr>
                <w:rFonts w:ascii="宋体" w:hAnsi="宋体" w:cs="宋体"/>
              </w:rPr>
            </w:pPr>
            <w:r>
              <w:rPr>
                <w:rFonts w:hint="eastAsia" w:ascii="宋体" w:hAnsi="宋体" w:cs="宋体"/>
              </w:rPr>
              <w:t>4门</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8</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05131001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专业英语（专业硕士）</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05122022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绿色化学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05122062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能源化学</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05122045</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高分子化学与物理</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选修  课</w:t>
            </w:r>
          </w:p>
        </w:tc>
        <w:tc>
          <w:tcPr>
            <w:tcW w:w="56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行业通识模块</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05132001</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农药残留与监测</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至</w:t>
            </w:r>
          </w:p>
          <w:p>
            <w:pPr>
              <w:jc w:val="center"/>
              <w:rPr>
                <w:rFonts w:ascii="宋体" w:hAnsi="宋体" w:cs="宋体"/>
              </w:rPr>
            </w:pPr>
            <w:r>
              <w:rPr>
                <w:rFonts w:hint="eastAsia" w:ascii="宋体" w:hAnsi="宋体" w:cs="宋体"/>
              </w:rPr>
              <w:t>少</w:t>
            </w:r>
          </w:p>
          <w:p>
            <w:pPr>
              <w:jc w:val="center"/>
              <w:rPr>
                <w:rFonts w:ascii="宋体" w:hAnsi="宋体" w:cs="宋体"/>
              </w:rPr>
            </w:pPr>
            <w:r>
              <w:rPr>
                <w:rFonts w:hint="eastAsia" w:ascii="宋体" w:hAnsi="宋体" w:cs="宋体"/>
              </w:rPr>
              <w:t>选</w:t>
            </w:r>
          </w:p>
          <w:p>
            <w:pPr>
              <w:jc w:val="center"/>
              <w:rPr>
                <w:rFonts w:ascii="宋体" w:hAnsi="宋体" w:cs="宋体"/>
              </w:rPr>
            </w:pPr>
            <w:r>
              <w:rPr>
                <w:rFonts w:hint="eastAsia" w:ascii="宋体" w:hAnsi="宋体" w:cs="宋体"/>
              </w:rPr>
              <w:t>5</w:t>
            </w:r>
          </w:p>
          <w:p>
            <w:pPr>
              <w:jc w:val="center"/>
              <w:rPr>
                <w:rFonts w:ascii="宋体" w:hAnsi="宋体" w:cs="宋体"/>
              </w:rPr>
            </w:pPr>
            <w:r>
              <w:rPr>
                <w:rFonts w:hint="eastAsia" w:ascii="宋体" w:hAnsi="宋体" w:cs="宋体"/>
              </w:rPr>
              <w:t>门</w:t>
            </w:r>
          </w:p>
        </w:tc>
        <w:tc>
          <w:tcPr>
            <w:tcW w:w="425"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9</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05122036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计算机在化学中的应用</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05132007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应用电化学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05121014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高分子科学的表征方法</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05121027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有机结构分析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05121003</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05132002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富集纯化与分离科学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05122017</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现代药物分离方法与技术</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05122029</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聚合物现代光谱技术</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05122038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聚合物胶体</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生物医用材料导论</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高分子吸附分离材料与技术</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高分子凝聚态物理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高分子的分子设计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05122047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高分子合金材料</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9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05122052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有机合成化学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05122053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金属有机</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05122054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物理有机化学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05122026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有机立体化学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05122057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超分子化学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05122059</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高分子软物质的研究方法</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567" w:type="dxa"/>
            <w:vMerge w:val="continue"/>
            <w:tcBorders>
              <w:left w:val="single" w:color="auto" w:sz="4" w:space="0"/>
              <w:right w:val="single" w:color="auto" w:sz="4" w:space="0"/>
            </w:tcBorders>
            <w:vAlign w:val="center"/>
          </w:tcPr>
          <w:p>
            <w:pPr>
              <w:jc w:val="cente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05122060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高分子化学反应</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05122061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质谱分析方法及应用</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05121002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ascii="Times New Roman" w:hAnsi="Times New Roman"/>
              </w:rPr>
              <w:t>高等无机化学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ind w:firstLine="105" w:firstLineChars="50"/>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05121004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量子化学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w:t>
            </w:r>
            <w:r>
              <w:rPr>
                <w:rFonts w:hint="eastAsia" w:ascii="Times New Roman" w:hAnsi="Times New Roman"/>
              </w:rPr>
              <w:t>31</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高等分析化学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05121012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ascii="Times New Roman" w:hAnsi="Times New Roman"/>
              </w:rPr>
              <w:t>化学反应动力学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05121015</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现代高分子化学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05121016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计算机化学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105" w:firstLineChars="50"/>
              <w:jc w:val="center"/>
              <w:rPr>
                <w:rFonts w:ascii="Times New Roman" w:hAnsi="Times New Roman"/>
              </w:rPr>
            </w:pPr>
            <w:r>
              <w:rPr>
                <w:rFonts w:hint="eastAsia" w:ascii="Times New Roman" w:hAnsi="Times New Roman"/>
              </w:rPr>
              <w:t>1，2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05121017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有机化合物结构分析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05121025</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高等有机化学</w:t>
            </w:r>
            <w:r>
              <w:rPr>
                <w:rFonts w:ascii="Times New Roman" w:hAnsi="Times New Roman"/>
              </w:rPr>
              <w:t>1</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05121026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高等有机化学</w:t>
            </w:r>
            <w:r>
              <w:rPr>
                <w:rFonts w:ascii="Times New Roman" w:hAnsi="Times New Roman"/>
              </w:rPr>
              <w:t>2</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05121018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现代仪器分析实验</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restart"/>
            <w:tcBorders>
              <w:top w:val="single" w:color="auto" w:sz="4" w:space="0"/>
              <w:left w:val="single" w:color="auto" w:sz="4" w:space="0"/>
              <w:right w:val="single" w:color="auto" w:sz="4" w:space="0"/>
            </w:tcBorders>
            <w:vAlign w:val="center"/>
          </w:tcPr>
          <w:p>
            <w:pPr>
              <w:rPr>
                <w:rFonts w:ascii="宋体" w:hAnsi="宋体" w:cs="宋体"/>
              </w:rPr>
            </w:pPr>
            <w:r>
              <w:rPr>
                <w:rFonts w:hint="eastAsia" w:ascii="宋体" w:hAnsi="宋体" w:cs="宋体"/>
              </w:rPr>
              <w:t>综合素养模块</w:t>
            </w: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05132003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危险化学品的安全管理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highlight w:val="yellow"/>
              </w:rPr>
            </w:pPr>
            <w:r>
              <w:rPr>
                <w:rFonts w:hint="eastAsia" w:ascii="Times New Roman" w:hAnsi="Times New Roman"/>
                <w:highlight w:val="yellow"/>
              </w:rPr>
              <w:t>05131012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highlight w:val="yellow"/>
              </w:rPr>
            </w:pPr>
            <w:r>
              <w:rPr>
                <w:rFonts w:hint="eastAsia" w:ascii="Times New Roman" w:hAnsi="Times New Roman"/>
                <w:highlight w:val="yellow"/>
              </w:rPr>
              <w:t>化工科学前沿进展（必选）</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highlight w:val="yellow"/>
              </w:rPr>
            </w:pPr>
            <w:r>
              <w:rPr>
                <w:rFonts w:hint="eastAsia" w:ascii="Times New Roman" w:hAnsi="Times New Roman"/>
                <w:highlight w:val="yellow"/>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highlight w:val="yellow"/>
              </w:rPr>
            </w:pPr>
            <w:r>
              <w:rPr>
                <w:rFonts w:hint="eastAsia" w:ascii="Times New Roman" w:hAnsi="Times New Roman"/>
                <w:highlight w:val="yellow"/>
              </w:rPr>
              <w:t>05131013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highlight w:val="yellow"/>
              </w:rPr>
            </w:pPr>
            <w:r>
              <w:rPr>
                <w:rFonts w:hint="eastAsia" w:ascii="Times New Roman" w:hAnsi="Times New Roman"/>
                <w:highlight w:val="yellow"/>
              </w:rPr>
              <w:t>化工技术前沿进展（必选）</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 xml:space="preserve"> 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highlight w:val="yellow"/>
              </w:rPr>
            </w:pPr>
            <w:r>
              <w:rPr>
                <w:rFonts w:hint="eastAsia" w:ascii="Times New Roman" w:hAnsi="Times New Roman"/>
                <w:highlight w:val="yellow"/>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05131010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信息检索</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 xml:space="preserve"> 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rPr>
                <w:rFonts w:ascii="宋体" w:hAnsi="宋体" w:cs="宋体"/>
                <w:highlight w:val="yellow"/>
              </w:rPr>
            </w:pPr>
          </w:p>
        </w:tc>
        <w:tc>
          <w:tcPr>
            <w:tcW w:w="567" w:type="dxa"/>
            <w:vMerge w:val="continue"/>
            <w:tcBorders>
              <w:left w:val="single" w:color="auto" w:sz="4" w:space="0"/>
              <w:right w:val="single" w:color="auto" w:sz="4" w:space="0"/>
            </w:tcBorders>
            <w:vAlign w:val="center"/>
          </w:tcPr>
          <w:p>
            <w:pPr>
              <w:rPr>
                <w:rFonts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0512102</w:t>
            </w:r>
            <w:r>
              <w:rPr>
                <w:rFonts w:hint="eastAsia" w:ascii="Times New Roman" w:hAnsi="Times New Roman"/>
              </w:rPr>
              <w:t>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通识教育</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ascii="Times New Roman" w:hAnsi="Times New Roman"/>
              </w:rPr>
              <w:t>3</w:t>
            </w:r>
            <w:r>
              <w:rPr>
                <w:rFonts w:hint="eastAsia" w:ascii="Times New Roman" w:hAnsi="Times New Roman"/>
              </w:rPr>
              <w:t>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jc w:val="center"/>
              <w:rPr>
                <w:rFonts w:ascii="Times New Roman" w:hAnsi="Times New Roman"/>
              </w:rPr>
            </w:pPr>
            <w:r>
              <w:rPr>
                <w:rFonts w:hint="eastAsia" w:ascii="Times New Roman" w:hAnsi="Times New Roman"/>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必修环节</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专业实践模块</w:t>
            </w: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05131014</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专业实践讲座</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讲座</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05131022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专业实践1</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96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6</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3</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实践</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必修</w:t>
            </w:r>
          </w:p>
        </w:tc>
        <w:tc>
          <w:tcPr>
            <w:tcW w:w="425"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05131021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专业实践2</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4</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3</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实践</w:t>
            </w:r>
          </w:p>
        </w:tc>
        <w:tc>
          <w:tcPr>
            <w:tcW w:w="527"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必修</w:t>
            </w:r>
          </w:p>
        </w:tc>
        <w:tc>
          <w:tcPr>
            <w:tcW w:w="425" w:type="dxa"/>
            <w:vMerge w:val="continue"/>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05131016</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高能化学电源技术</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2</w:t>
            </w:r>
          </w:p>
        </w:tc>
        <w:tc>
          <w:tcPr>
            <w:tcW w:w="624" w:type="dxa"/>
            <w:vMerge w:val="restart"/>
            <w:tcBorders>
              <w:top w:val="single" w:color="auto" w:sz="4" w:space="0"/>
              <w:lef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实验</w:t>
            </w:r>
          </w:p>
          <w:p>
            <w:pPr>
              <w:jc w:val="center"/>
              <w:rPr>
                <w:rFonts w:ascii="Times New Roman" w:hAnsi="Times New Roman"/>
              </w:rPr>
            </w:pPr>
            <w:r>
              <w:rPr>
                <w:rFonts w:hint="eastAsia" w:ascii="Times New Roman" w:hAnsi="Times New Roman"/>
              </w:rPr>
              <w:t>实验</w:t>
            </w:r>
          </w:p>
          <w:p>
            <w:pPr>
              <w:jc w:val="center"/>
              <w:rPr>
                <w:rFonts w:ascii="Times New Roman" w:hAnsi="Times New Roman"/>
              </w:rPr>
            </w:pPr>
            <w:r>
              <w:rPr>
                <w:rFonts w:hint="eastAsia" w:ascii="Times New Roman" w:hAnsi="Times New Roman"/>
              </w:rPr>
              <w:t>实验</w:t>
            </w:r>
          </w:p>
          <w:p>
            <w:pPr>
              <w:jc w:val="center"/>
              <w:rPr>
                <w:rFonts w:ascii="Times New Roman" w:hAnsi="Times New Roman"/>
              </w:rPr>
            </w:pPr>
          </w:p>
        </w:tc>
        <w:tc>
          <w:tcPr>
            <w:tcW w:w="24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05131017</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工业催化反应评价</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2</w:t>
            </w:r>
          </w:p>
        </w:tc>
        <w:tc>
          <w:tcPr>
            <w:tcW w:w="624" w:type="dxa"/>
            <w:vMerge w:val="continue"/>
            <w:tcBorders>
              <w:left w:val="single" w:color="auto" w:sz="4" w:space="0"/>
            </w:tcBorders>
            <w:shd w:val="clear" w:color="auto" w:fill="auto"/>
            <w:vAlign w:val="center"/>
          </w:tcPr>
          <w:p>
            <w:pPr>
              <w:jc w:val="center"/>
              <w:rPr>
                <w:rFonts w:ascii="Times New Roman" w:hAnsi="Times New Roman"/>
              </w:rPr>
            </w:pPr>
          </w:p>
        </w:tc>
        <w:tc>
          <w:tcPr>
            <w:tcW w:w="244" w:type="dxa"/>
            <w:vMerge w:val="continue"/>
            <w:tcBorders>
              <w:left w:val="nil"/>
              <w:right w:val="single" w:color="auto" w:sz="4" w:space="0"/>
            </w:tcBorders>
            <w:shd w:val="clear" w:color="auto" w:fill="auto"/>
            <w:vAlign w:val="center"/>
          </w:tcPr>
          <w:p>
            <w:pPr>
              <w:jc w:val="center"/>
              <w:rPr>
                <w:rFonts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eastAsia" w:ascii="Times New Roman" w:hAnsi="Times New Roman"/>
              </w:rPr>
              <w:t>05131018</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药物清洁生产工艺</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2</w:t>
            </w:r>
          </w:p>
        </w:tc>
        <w:tc>
          <w:tcPr>
            <w:tcW w:w="624" w:type="dxa"/>
            <w:vMerge w:val="continue"/>
            <w:tcBorders>
              <w:left w:val="single" w:color="auto" w:sz="4" w:space="0"/>
            </w:tcBorders>
            <w:shd w:val="clear" w:color="auto" w:fill="auto"/>
            <w:vAlign w:val="center"/>
          </w:tcPr>
          <w:p>
            <w:pPr>
              <w:jc w:val="center"/>
              <w:rPr>
                <w:rFonts w:ascii="Times New Roman" w:hAnsi="Times New Roman"/>
              </w:rPr>
            </w:pPr>
          </w:p>
        </w:tc>
        <w:tc>
          <w:tcPr>
            <w:tcW w:w="244" w:type="dxa"/>
            <w:vMerge w:val="continue"/>
            <w:tcBorders>
              <w:left w:val="nil"/>
              <w:right w:val="single" w:color="auto" w:sz="4" w:space="0"/>
            </w:tcBorders>
            <w:shd w:val="clear" w:color="auto" w:fill="auto"/>
            <w:vAlign w:val="center"/>
          </w:tcPr>
          <w:p>
            <w:pPr>
              <w:jc w:val="center"/>
              <w:rPr>
                <w:rFonts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jc w:val="center"/>
              <w:rPr>
                <w:rFonts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782"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p>
          <w:p>
            <w:pPr>
              <w:jc w:val="center"/>
              <w:rPr>
                <w:rFonts w:ascii="Times New Roman" w:hAnsi="Times New Roman"/>
              </w:rPr>
            </w:pPr>
            <w:r>
              <w:rPr>
                <w:rFonts w:hint="eastAsia" w:ascii="Times New Roman" w:hAnsi="Times New Roman"/>
              </w:rPr>
              <w:t>05131019</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功能分子合成与应用</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jc w:val="center"/>
              <w:rPr>
                <w:rFonts w:ascii="Times New Roman" w:hAnsi="Times New Roman"/>
              </w:rPr>
            </w:pPr>
            <w:r>
              <w:rPr>
                <w:rFonts w:hint="eastAsia" w:ascii="Times New Roman" w:hAnsi="Times New Roman"/>
              </w:rPr>
              <w:t>2</w:t>
            </w:r>
          </w:p>
        </w:tc>
        <w:tc>
          <w:tcPr>
            <w:tcW w:w="624" w:type="dxa"/>
            <w:vMerge w:val="continue"/>
            <w:tcBorders>
              <w:left w:val="single" w:color="auto" w:sz="4" w:space="0"/>
              <w:bottom w:val="single" w:color="auto" w:sz="4" w:space="0"/>
            </w:tcBorders>
            <w:shd w:val="clear" w:color="auto" w:fill="auto"/>
            <w:vAlign w:val="center"/>
          </w:tcPr>
          <w:p>
            <w:pPr>
              <w:jc w:val="center"/>
              <w:rPr>
                <w:rFonts w:ascii="Times New Roman" w:hAnsi="Times New Roman"/>
              </w:rPr>
            </w:pPr>
            <w:r>
              <w:rPr>
                <w:rFonts w:hint="eastAsia" w:ascii="Times New Roman" w:hAnsi="Times New Roman"/>
              </w:rPr>
              <w:t>实验</w:t>
            </w:r>
          </w:p>
        </w:tc>
        <w:tc>
          <w:tcPr>
            <w:tcW w:w="244"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rPr>
            </w:pPr>
          </w:p>
        </w:tc>
        <w:tc>
          <w:tcPr>
            <w:tcW w:w="527"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051</w:t>
            </w:r>
          </w:p>
        </w:tc>
      </w:tr>
    </w:tbl>
    <w:p>
      <w:pPr>
        <w:ind w:firstLine="105" w:firstLineChars="50"/>
      </w:pPr>
    </w:p>
    <w:p>
      <w:pPr>
        <w:rPr>
          <w:rFonts w:ascii="宋体" w:hAnsi="宋体"/>
        </w:rPr>
      </w:pPr>
      <w:r>
        <w:rPr>
          <w:rFonts w:hint="eastAsia"/>
        </w:rPr>
        <w:t>备注：</w:t>
      </w:r>
      <w:r>
        <w:rPr>
          <w:rFonts w:hint="eastAsia" w:ascii="宋体" w:hAnsi="宋体"/>
          <w:b/>
        </w:rPr>
        <w:t>1.</w:t>
      </w:r>
      <w:r>
        <w:rPr>
          <w:rFonts w:hint="eastAsia" w:ascii="宋体" w:hAnsi="宋体"/>
        </w:rPr>
        <w:t xml:space="preserve"> 总学分包含必修课</w:t>
      </w:r>
      <w:r>
        <w:rPr>
          <w:rFonts w:ascii="宋体" w:hAnsi="宋体"/>
        </w:rPr>
        <w:t>、选修课、必修环节</w:t>
      </w:r>
      <w:r>
        <w:rPr>
          <w:rFonts w:hint="eastAsia" w:ascii="宋体" w:hAnsi="宋体"/>
        </w:rPr>
        <w:t>学分，总学分不少于33学分。</w:t>
      </w:r>
    </w:p>
    <w:p>
      <w:pPr>
        <w:ind w:left="840" w:leftChars="350" w:hanging="105" w:hangingChars="50"/>
        <w:rPr>
          <w:rFonts w:ascii="宋体" w:hAnsi="宋体"/>
        </w:rPr>
      </w:pPr>
      <w:r>
        <w:rPr>
          <w:rFonts w:hint="eastAsia" w:ascii="宋体" w:hAnsi="宋体"/>
        </w:rPr>
        <w:t>《专业实践1》：实践时间不少于一年。不具有2年企业工作经历的工程类硕士专业学位研究生专业实践时间不少于一年。</w:t>
      </w:r>
    </w:p>
    <w:p>
      <w:pPr>
        <w:ind w:left="840" w:leftChars="350" w:hanging="105" w:hangingChars="50"/>
        <w:rPr>
          <w:rFonts w:ascii="宋体" w:hAnsi="宋体"/>
        </w:rPr>
      </w:pPr>
      <w:r>
        <w:rPr>
          <w:rFonts w:hint="eastAsia" w:ascii="宋体" w:hAnsi="宋体"/>
        </w:rPr>
        <w:t>《专业实践2》：实践时间不少于6个月。具有2年及以上企业工作经历的工程类硕士专业学位研究生专业实践时间不少于6个月。</w:t>
      </w:r>
    </w:p>
    <w:p>
      <w:pPr>
        <w:ind w:left="840" w:leftChars="350" w:hanging="105" w:hangingChars="50"/>
        <w:rPr>
          <w:rFonts w:ascii="宋体" w:hAnsi="宋体"/>
        </w:rPr>
      </w:pPr>
      <w:r>
        <w:rPr>
          <w:rFonts w:hint="eastAsia" w:ascii="宋体" w:hAnsi="宋体"/>
          <w:b/>
        </w:rPr>
        <w:t>2</w:t>
      </w:r>
      <w:r>
        <w:rPr>
          <w:rFonts w:hint="eastAsia" w:ascii="宋体" w:hAnsi="宋体"/>
        </w:rPr>
        <w:t>.《专业实践讲座》周六2-4节，二主楼A509,具体每个讲座的具体时间见化学院网页通知以及班级群里通知。</w:t>
      </w:r>
    </w:p>
    <w:p>
      <w:pPr>
        <w:spacing w:line="400" w:lineRule="exact"/>
        <w:ind w:left="836" w:leftChars="348" w:hanging="105" w:hangingChars="50"/>
        <w:rPr>
          <w:rFonts w:ascii="宋体" w:hAnsi="宋体"/>
          <w:szCs w:val="21"/>
        </w:rPr>
      </w:pPr>
      <w:r>
        <w:rPr>
          <w:rFonts w:hint="eastAsia" w:ascii="宋体" w:hAnsi="宋体"/>
          <w:szCs w:val="21"/>
        </w:rPr>
        <w:t>3.体育课为选修课，学分不计算在研究生专业培养方案规定的总学分中。每人限选一门。</w:t>
      </w:r>
    </w:p>
    <w:p>
      <w:pPr>
        <w:spacing w:line="400" w:lineRule="exact"/>
        <w:ind w:left="836" w:leftChars="348" w:hanging="105" w:hangingChars="50"/>
        <w:rPr>
          <w:rFonts w:ascii="宋体" w:hAnsi="宋体"/>
          <w:szCs w:val="21"/>
        </w:rPr>
      </w:pPr>
      <w:r>
        <w:rPr>
          <w:rFonts w:hint="eastAsia" w:ascii="宋体" w:hAnsi="宋体"/>
          <w:b/>
          <w:szCs w:val="21"/>
        </w:rPr>
        <w:t>4</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后打印个人计划表须有导师签字请于10号30号前交于研究生办公室413郑老师.</w:t>
      </w:r>
      <w:r>
        <w:rPr>
          <w:rFonts w:ascii="宋体" w:hAnsi="宋体"/>
          <w:szCs w:val="21"/>
        </w:rPr>
        <w:t xml:space="preserve"> </w:t>
      </w:r>
    </w:p>
    <w:p>
      <w:pPr>
        <w:widowControl/>
        <w:spacing w:before="100" w:beforeAutospacing="1" w:after="100" w:afterAutospacing="1" w:line="226" w:lineRule="atLeast"/>
        <w:ind w:left="946" w:leftChars="300" w:hanging="316" w:hangingChars="150"/>
        <w:jc w:val="left"/>
        <w:rPr>
          <w:rFonts w:hint="eastAsia" w:ascii="宋体" w:hAnsi="宋体" w:eastAsiaTheme="minorEastAsia"/>
          <w:szCs w:val="21"/>
          <w:lang w:val="en-US" w:eastAsia="zh-CN"/>
        </w:rPr>
      </w:pPr>
      <w:r>
        <w:rPr>
          <w:rFonts w:hint="eastAsia" w:ascii="宋体" w:hAnsi="宋体"/>
          <w:b/>
          <w:szCs w:val="21"/>
        </w:rPr>
        <w:t>5.</w:t>
      </w:r>
      <w:r>
        <w:rPr>
          <w:rFonts w:hint="eastAsia" w:ascii="宋体" w:hAnsi="宋体"/>
          <w:b/>
          <w:color w:val="FF0000"/>
          <w:szCs w:val="21"/>
        </w:rPr>
        <w:t>选课系统开放时间为9月5号-9月19号</w:t>
      </w:r>
      <w:r>
        <w:rPr>
          <w:rFonts w:hint="eastAsia" w:ascii="宋体" w:hAnsi="宋体"/>
          <w:szCs w:val="21"/>
        </w:rPr>
        <w:t xml:space="preserve">  ，之后没有补退选，选课</w:t>
      </w:r>
      <w:r>
        <w:rPr>
          <w:rFonts w:hint="eastAsia" w:ascii="宋体" w:hAnsi="宋体"/>
          <w:szCs w:val="21"/>
          <w:lang w:val="en-US" w:eastAsia="zh-CN"/>
        </w:rPr>
        <w:t>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w:t>
      </w:r>
      <w:bookmarkStart w:id="0" w:name="_GoBack"/>
      <w:bookmarkEnd w:id="0"/>
      <w:r>
        <w:rPr>
          <w:rFonts w:hint="eastAsia" w:ascii="宋体" w:hAnsi="宋体"/>
          <w:szCs w:val="21"/>
          <w:lang w:val="en-US" w:eastAsia="zh-CN"/>
        </w:rPr>
        <w:t>VPN:https://www.nankai.edu.cn/VPN/list.htm,登录VPN后 进入网站：https://webvpn.nankai.edu.cn/</w:t>
      </w:r>
    </w:p>
    <w:p>
      <w:pPr>
        <w:spacing w:line="400" w:lineRule="exact"/>
        <w:ind w:left="630" w:leftChars="300" w:firstLine="0" w:firstLineChars="0"/>
        <w:rPr>
          <w:rFonts w:ascii="宋体" w:hAnsi="宋体"/>
          <w:szCs w:val="21"/>
        </w:rPr>
      </w:pPr>
      <w:r>
        <w:rPr>
          <w:rFonts w:hint="eastAsia" w:ascii="宋体" w:hAnsi="宋体"/>
          <w:b/>
          <w:szCs w:val="21"/>
        </w:rPr>
        <w:t>6.</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rPr>
          <w:rFonts w:ascii="宋体" w:hAnsi="宋体"/>
          <w:szCs w:val="21"/>
        </w:rPr>
      </w:pPr>
      <w:r>
        <w:rPr>
          <w:rFonts w:hint="eastAsia" w:ascii="宋体" w:hAnsi="宋体"/>
          <w:szCs w:val="21"/>
        </w:rPr>
        <w:t>7.政治和公共英语课按照分班名单进行网上选课（院研办门前橱窗已张贴）。</w:t>
      </w:r>
    </w:p>
    <w:p>
      <w:pPr>
        <w:spacing w:line="360" w:lineRule="auto"/>
        <w:ind w:left="680" w:leftChars="324" w:firstLine="105" w:firstLineChars="50"/>
        <w:rPr>
          <w:rFonts w:ascii="宋体" w:hAnsi="宋体"/>
          <w:szCs w:val="21"/>
        </w:rPr>
      </w:pPr>
      <w:r>
        <w:rPr>
          <w:rFonts w:hint="eastAsia" w:ascii="宋体" w:hAnsi="宋体"/>
          <w:szCs w:val="21"/>
        </w:rPr>
        <w:t>1）硕士生政治课为一学年，两个学期均要选课。</w:t>
      </w:r>
    </w:p>
    <w:p>
      <w:pPr>
        <w:spacing w:line="360" w:lineRule="auto"/>
        <w:ind w:left="680" w:leftChars="324" w:firstLine="105" w:firstLineChars="50"/>
        <w:rPr>
          <w:rFonts w:ascii="宋体" w:hAnsi="宋体"/>
          <w:szCs w:val="21"/>
        </w:rPr>
      </w:pPr>
      <w:r>
        <w:rPr>
          <w:rFonts w:hint="eastAsia" w:ascii="宋体" w:hAnsi="宋体"/>
          <w:szCs w:val="21"/>
        </w:rPr>
        <w:t>2）第一外国语（英语）免修的同学也要选课（详见研究生教育综合管理系统（学生）操作手册），否则不计学分。</w:t>
      </w:r>
    </w:p>
    <w:p>
      <w:pPr>
        <w:spacing w:line="360" w:lineRule="auto"/>
        <w:ind w:firstLine="735" w:firstLineChars="350"/>
        <w:rPr>
          <w:rFonts w:ascii="宋体" w:hAnsi="宋体"/>
          <w:szCs w:val="21"/>
        </w:rPr>
      </w:pPr>
      <w:r>
        <w:rPr>
          <w:rFonts w:hint="eastAsia" w:ascii="宋体" w:hAnsi="宋体"/>
          <w:szCs w:val="21"/>
        </w:rPr>
        <w:t>8.第二外国语选课要求：只有研二以上和博士生可以选修二外课程。</w:t>
      </w:r>
    </w:p>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E096026"/>
    <w:rsid w:val="0F68360A"/>
    <w:rsid w:val="12E004D7"/>
    <w:rsid w:val="12EF06D5"/>
    <w:rsid w:val="1D704B4F"/>
    <w:rsid w:val="21301AF1"/>
    <w:rsid w:val="29371074"/>
    <w:rsid w:val="3F815847"/>
    <w:rsid w:val="4094549A"/>
    <w:rsid w:val="446468CB"/>
    <w:rsid w:val="45DF4BAB"/>
    <w:rsid w:val="4CFB6BDE"/>
    <w:rsid w:val="5A337BB2"/>
    <w:rsid w:val="62B075A6"/>
    <w:rsid w:val="6B81674A"/>
    <w:rsid w:val="795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433</Words>
  <Characters>2472</Characters>
  <Lines>20</Lines>
  <Paragraphs>5</Paragraphs>
  <TotalTime>1</TotalTime>
  <ScaleCrop>false</ScaleCrop>
  <LinksUpToDate>false</LinksUpToDate>
  <CharactersWithSpaces>2900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Lenovo</cp:lastModifiedBy>
  <cp:lastPrinted>2020-09-12T02:05:00Z</cp:lastPrinted>
  <dcterms:modified xsi:type="dcterms:W3CDTF">2021-09-01T01:00:43Z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56DB78EE637E4FA69258FD836FCCE286</vt:lpwstr>
  </property>
</Properties>
</file>