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C9" w:rsidRPr="0073252E" w:rsidRDefault="007860C9" w:rsidP="007860C9">
      <w:pPr>
        <w:spacing w:line="560" w:lineRule="exact"/>
        <w:rPr>
          <w:rFonts w:ascii="Times New Roman" w:eastAsia="黑体" w:hAnsi="Times New Roman" w:cs="Times New Roman"/>
          <w:color w:val="000000"/>
          <w:sz w:val="32"/>
        </w:rPr>
      </w:pPr>
      <w:r w:rsidRPr="0073252E">
        <w:rPr>
          <w:rFonts w:ascii="Times New Roman" w:eastAsia="黑体" w:hAnsi="Times New Roman" w:cs="Times New Roman"/>
          <w:color w:val="000000"/>
          <w:sz w:val="32"/>
        </w:rPr>
        <w:t>附件</w:t>
      </w:r>
      <w:r w:rsidRPr="0073252E">
        <w:rPr>
          <w:rFonts w:ascii="Times New Roman" w:eastAsia="黑体" w:hAnsi="Times New Roman" w:cs="Times New Roman"/>
          <w:color w:val="000000"/>
          <w:sz w:val="32"/>
        </w:rPr>
        <w:t>1</w:t>
      </w:r>
    </w:p>
    <w:p w:rsidR="007860C9" w:rsidRPr="0073252E" w:rsidRDefault="007860C9" w:rsidP="007860C9">
      <w:pPr>
        <w:spacing w:line="560" w:lineRule="exact"/>
        <w:rPr>
          <w:rFonts w:ascii="Times New Roman" w:eastAsia="黑体" w:hAnsi="Times New Roman" w:cs="Times New Roman"/>
          <w:color w:val="000000"/>
          <w:sz w:val="32"/>
        </w:rPr>
      </w:pPr>
    </w:p>
    <w:p w:rsidR="007860C9" w:rsidRPr="0073252E" w:rsidRDefault="007860C9" w:rsidP="007860C9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3252E">
        <w:rPr>
          <w:rFonts w:ascii="Times New Roman" w:eastAsia="方正小标宋简体" w:hAnsi="Times New Roman" w:cs="Times New Roman"/>
          <w:sz w:val="44"/>
          <w:szCs w:val="44"/>
        </w:rPr>
        <w:t>2019</w:t>
      </w:r>
      <w:r w:rsidRPr="0073252E">
        <w:rPr>
          <w:rFonts w:ascii="Times New Roman" w:eastAsia="方正小标宋简体" w:hAnsi="Times New Roman" w:cs="Times New Roman"/>
          <w:sz w:val="44"/>
          <w:szCs w:val="44"/>
        </w:rPr>
        <w:t>年天津市新能源新材料科技重大专项项目申报指南</w:t>
      </w:r>
    </w:p>
    <w:p w:rsidR="007860C9" w:rsidRPr="0073252E" w:rsidRDefault="007860C9" w:rsidP="007860C9">
      <w:pPr>
        <w:spacing w:line="560" w:lineRule="exact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:rsidR="007860C9" w:rsidRPr="0073252E" w:rsidRDefault="007860C9" w:rsidP="007860C9">
      <w:pPr>
        <w:spacing w:line="560" w:lineRule="exact"/>
        <w:ind w:firstLineChars="250" w:firstLine="800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73252E">
        <w:rPr>
          <w:rFonts w:ascii="Times New Roman" w:eastAsia="黑体" w:hAnsi="Times New Roman" w:cs="Times New Roman"/>
          <w:color w:val="000000"/>
          <w:sz w:val="32"/>
          <w:szCs w:val="32"/>
        </w:rPr>
        <w:t>一、指南方向</w:t>
      </w:r>
    </w:p>
    <w:p w:rsidR="009A491D" w:rsidRDefault="007860C9" w:rsidP="007860C9">
      <w:pPr>
        <w:spacing w:line="560" w:lineRule="exact"/>
        <w:ind w:firstLineChars="200" w:firstLine="640"/>
        <w:rPr>
          <w:rFonts w:ascii="Times New Roman" w:eastAsia="楷体_GB2312" w:hAnsi="Times New Roman" w:cs="Times New Roman" w:hint="eastAsia"/>
          <w:color w:val="000000"/>
          <w:sz w:val="32"/>
        </w:rPr>
      </w:pPr>
      <w:r w:rsidRPr="009A491D">
        <w:rPr>
          <w:rFonts w:ascii="Times New Roman" w:eastAsia="楷体_GB2312" w:hAnsi="Times New Roman" w:cs="Times New Roman"/>
          <w:color w:val="000000"/>
          <w:sz w:val="32"/>
          <w:highlight w:val="yellow"/>
        </w:rPr>
        <w:t>（一）碳捕获、利用与封存（</w:t>
      </w:r>
      <w:r w:rsidRPr="009A491D">
        <w:rPr>
          <w:rFonts w:ascii="Times New Roman" w:eastAsia="楷体_GB2312" w:hAnsi="Times New Roman" w:cs="Times New Roman"/>
          <w:color w:val="000000"/>
          <w:sz w:val="32"/>
          <w:highlight w:val="yellow"/>
        </w:rPr>
        <w:t>CCUS</w:t>
      </w:r>
      <w:r w:rsidRPr="009A491D">
        <w:rPr>
          <w:rFonts w:ascii="Times New Roman" w:eastAsia="楷体_GB2312" w:hAnsi="Times New Roman" w:cs="Times New Roman"/>
          <w:color w:val="000000"/>
          <w:sz w:val="32"/>
          <w:highlight w:val="yellow"/>
        </w:rPr>
        <w:t>）</w:t>
      </w:r>
    </w:p>
    <w:p w:rsidR="007860C9" w:rsidRPr="0073252E" w:rsidRDefault="009A491D" w:rsidP="009A491D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color w:val="000000"/>
          <w:sz w:val="32"/>
        </w:rPr>
      </w:pPr>
      <w:r w:rsidRPr="009A491D">
        <w:rPr>
          <w:b/>
          <w:color w:val="C00000"/>
          <w:sz w:val="32"/>
          <w:szCs w:val="24"/>
        </w:rPr>
        <w:t>科研院所、高等院校和企业均可申报，但以科研院所或高等院校为第一申报单位时须有本地企业参与</w:t>
      </w:r>
    </w:p>
    <w:p w:rsidR="007860C9" w:rsidRPr="0073252E" w:rsidRDefault="007860C9" w:rsidP="007860C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252E">
        <w:rPr>
          <w:rFonts w:ascii="Times New Roman" w:eastAsia="仿宋_GB2312" w:hAnsi="Times New Roman" w:cs="Times New Roman"/>
          <w:sz w:val="32"/>
          <w:szCs w:val="32"/>
        </w:rPr>
        <w:t>研究内容：开发高效低能耗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CO</w:t>
      </w:r>
      <w:r w:rsidRPr="0073252E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捕集材料，研制高效率、高通量大型分离设备，掌握工艺过程强化、能量耦合匹配、系统集成与控制等技术，降低捕集能耗，提高整体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CO</w:t>
      </w:r>
      <w:r w:rsidRPr="0073252E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捕集系统的技术经济性；通过多种催化转化过程，探索温和条件下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CO</w:t>
      </w:r>
      <w:r w:rsidRPr="0073252E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合成有机酸、酯、醇等高附加值化学品的新方法，开发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CO</w:t>
      </w:r>
      <w:r w:rsidRPr="0073252E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合成高附加值化学品高效催化剂，并研究催化剂对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CO</w:t>
      </w:r>
      <w:r w:rsidRPr="0073252E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的活化原理及对产物的选择性调控机制，研究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CO</w:t>
      </w:r>
      <w:r w:rsidRPr="0073252E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转化制高附加值化学品反应中的过程强化机制，为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CO</w:t>
      </w:r>
      <w:r w:rsidRPr="0073252E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高效资源化利用奠定科学基础，为碳捕集利用平台建设提供技术基础。</w:t>
      </w:r>
    </w:p>
    <w:p w:rsidR="007860C9" w:rsidRPr="0073252E" w:rsidRDefault="007860C9" w:rsidP="007860C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 w:rsidRPr="0073252E">
        <w:rPr>
          <w:rFonts w:ascii="Times New Roman" w:eastAsia="仿宋_GB2312" w:hAnsi="Times New Roman" w:cs="Times New Roman"/>
          <w:sz w:val="32"/>
          <w:szCs w:val="32"/>
        </w:rPr>
        <w:t>考核指标：开发出新型碳捕集材料，实现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CO</w:t>
      </w:r>
      <w:r w:rsidRPr="0073252E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捕集效率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≥91%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，干烟气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CO</w:t>
      </w:r>
      <w:r w:rsidRPr="0073252E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浓度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≥90%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，捕集能耗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≤2.0 GJ/tCO</w:t>
      </w:r>
      <w:r w:rsidRPr="0073252E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；制备出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2—3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种温和条件下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CO</w:t>
      </w:r>
      <w:r w:rsidRPr="0073252E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催化转化制备高附加值化学品催化剂，开发出新型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CO</w:t>
      </w:r>
      <w:r w:rsidRPr="0073252E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转化制备有机酸、酯、醇等高附加值化学品的新工艺；选择燃煤电厂建成碳捕集利用全流程平台开展示范，实现碳排放强度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≤450 g/kWh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，</w:t>
      </w:r>
      <w:proofErr w:type="gramStart"/>
      <w:r w:rsidRPr="0073252E">
        <w:rPr>
          <w:rFonts w:ascii="Times New Roman" w:eastAsia="仿宋_GB2312" w:hAnsi="Times New Roman" w:cs="Times New Roman"/>
          <w:sz w:val="32"/>
          <w:szCs w:val="32"/>
        </w:rPr>
        <w:t>燃烧前碳捕集</w:t>
      </w:r>
      <w:proofErr w:type="gramEnd"/>
      <w:r w:rsidRPr="0073252E">
        <w:rPr>
          <w:rFonts w:ascii="Times New Roman" w:eastAsia="仿宋_GB2312" w:hAnsi="Times New Roman" w:cs="Times New Roman"/>
          <w:sz w:val="32"/>
          <w:szCs w:val="32"/>
        </w:rPr>
        <w:t>成本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lastRenderedPageBreak/>
        <w:t>小于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150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元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/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吨。</w:t>
      </w:r>
    </w:p>
    <w:p w:rsidR="007860C9" w:rsidRDefault="007860C9" w:rsidP="007860C9">
      <w:pPr>
        <w:spacing w:line="560" w:lineRule="exact"/>
        <w:ind w:firstLineChars="200" w:firstLine="640"/>
        <w:rPr>
          <w:rFonts w:ascii="Times New Roman" w:eastAsia="楷体_GB2312" w:hAnsi="Times New Roman" w:cs="Times New Roman" w:hint="eastAsia"/>
          <w:color w:val="000000"/>
          <w:sz w:val="32"/>
        </w:rPr>
      </w:pPr>
      <w:r w:rsidRPr="0073252E">
        <w:rPr>
          <w:rFonts w:ascii="Times New Roman" w:eastAsia="楷体_GB2312" w:hAnsi="Times New Roman" w:cs="Times New Roman"/>
          <w:color w:val="000000"/>
          <w:sz w:val="32"/>
        </w:rPr>
        <w:t>（二）基于物联网的新能源综合利用</w:t>
      </w:r>
    </w:p>
    <w:p w:rsidR="009A491D" w:rsidRPr="0073252E" w:rsidRDefault="009A491D" w:rsidP="007860C9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color w:val="000000"/>
          <w:sz w:val="32"/>
        </w:rPr>
      </w:pPr>
      <w:r w:rsidRPr="0073252E">
        <w:rPr>
          <w:sz w:val="32"/>
          <w:szCs w:val="24"/>
        </w:rPr>
        <w:t>须以企业为第一申报单位进行申报</w:t>
      </w:r>
    </w:p>
    <w:p w:rsidR="007860C9" w:rsidRPr="0073252E" w:rsidRDefault="007860C9" w:rsidP="007860C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252E">
        <w:rPr>
          <w:rFonts w:ascii="Times New Roman" w:eastAsia="仿宋_GB2312" w:hAnsi="Times New Roman" w:cs="Times New Roman"/>
          <w:sz w:val="32"/>
          <w:szCs w:val="32"/>
        </w:rPr>
        <w:t>研究内容：研究并搭建新能源物联网系统；开发能源路由器算法、以及可批量生产的能源路由器硬件产品；开发适合能源系统的梯级储能电池应用技术；开发可分布式部署的蓄冷蓄热技术；打造集太阳能、风能、地热等多种新能源综合利用、物联网、人工智能技术为一体的系统典型应用方案。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7860C9" w:rsidRPr="0073252E" w:rsidRDefault="007860C9" w:rsidP="007860C9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</w:rPr>
      </w:pPr>
      <w:r w:rsidRPr="0073252E">
        <w:rPr>
          <w:rFonts w:ascii="Times New Roman" w:eastAsia="仿宋_GB2312" w:hAnsi="Times New Roman" w:cs="Times New Roman"/>
          <w:sz w:val="32"/>
          <w:szCs w:val="32"/>
        </w:rPr>
        <w:t>考核指标：新能源物联网系统实现</w:t>
      </w:r>
      <w:proofErr w:type="gramStart"/>
      <w:r w:rsidRPr="0073252E">
        <w:rPr>
          <w:rFonts w:ascii="Times New Roman" w:eastAsia="仿宋_GB2312" w:hAnsi="Times New Roman" w:cs="Times New Roman"/>
          <w:sz w:val="32"/>
          <w:szCs w:val="32"/>
        </w:rPr>
        <w:t>网源荷</w:t>
      </w:r>
      <w:proofErr w:type="gramEnd"/>
      <w:r w:rsidRPr="0073252E">
        <w:rPr>
          <w:rFonts w:ascii="Times New Roman" w:eastAsia="仿宋_GB2312" w:hAnsi="Times New Roman" w:cs="Times New Roman"/>
          <w:sz w:val="32"/>
          <w:szCs w:val="32"/>
        </w:rPr>
        <w:t>一体化采集，能源路由器实现多能源信息采集、存储、转发、交互、在线监测与运行控制等功能，实现不少于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个终端实时接入；推广系统用户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20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家，建筑面积达到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万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m</w:t>
      </w:r>
      <w:r w:rsidRPr="0073252E">
        <w:rPr>
          <w:rFonts w:ascii="Times New Roman" w:eastAsia="仿宋_GB2312" w:hAnsi="Times New Roman" w:cs="Times New Roman"/>
          <w:sz w:val="32"/>
          <w:szCs w:val="32"/>
          <w:vertAlign w:val="superscript"/>
        </w:rPr>
        <w:t>2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，运行系统中新能源供能总量占比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≥30%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，每年节省标煤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130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吨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/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万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m</w:t>
      </w:r>
      <w:r w:rsidRPr="0073252E">
        <w:rPr>
          <w:rFonts w:ascii="Times New Roman" w:eastAsia="仿宋_GB2312" w:hAnsi="Times New Roman" w:cs="Times New Roman"/>
          <w:sz w:val="32"/>
          <w:szCs w:val="32"/>
          <w:vertAlign w:val="superscript"/>
        </w:rPr>
        <w:t>2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，相关技术产品及服务实现销售收入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≥1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亿元，在本市形成示范，形成行业或地方标准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2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项。</w:t>
      </w:r>
    </w:p>
    <w:p w:rsidR="009A491D" w:rsidRDefault="007860C9" w:rsidP="007860C9">
      <w:pPr>
        <w:spacing w:line="560" w:lineRule="exact"/>
        <w:ind w:firstLineChars="200" w:firstLine="640"/>
        <w:rPr>
          <w:rFonts w:ascii="Times New Roman" w:eastAsia="楷体_GB2312" w:hAnsi="Times New Roman" w:cs="Times New Roman" w:hint="eastAsia"/>
          <w:color w:val="000000"/>
          <w:sz w:val="32"/>
        </w:rPr>
      </w:pPr>
      <w:r w:rsidRPr="009A491D">
        <w:rPr>
          <w:rFonts w:ascii="Times New Roman" w:eastAsia="楷体_GB2312" w:hAnsi="Times New Roman" w:cs="Times New Roman"/>
          <w:color w:val="000000"/>
          <w:sz w:val="32"/>
          <w:highlight w:val="yellow"/>
        </w:rPr>
        <w:t>（三）柔性显示材料</w:t>
      </w:r>
    </w:p>
    <w:p w:rsidR="007860C9" w:rsidRPr="0073252E" w:rsidRDefault="009A491D" w:rsidP="009A491D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color w:val="000000"/>
          <w:sz w:val="32"/>
        </w:rPr>
      </w:pPr>
      <w:r w:rsidRPr="009A491D">
        <w:rPr>
          <w:b/>
          <w:color w:val="C00000"/>
          <w:sz w:val="32"/>
          <w:szCs w:val="24"/>
        </w:rPr>
        <w:t>科研院所、高等院校和企业均可申报，但以科研院所或高等院校为第一申报单位时须有本地企业参与</w:t>
      </w:r>
    </w:p>
    <w:p w:rsidR="007860C9" w:rsidRPr="0073252E" w:rsidRDefault="007860C9" w:rsidP="007860C9">
      <w:pPr>
        <w:pStyle w:val="a3"/>
        <w:spacing w:line="560" w:lineRule="exact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 w:rsidRPr="0073252E">
        <w:rPr>
          <w:rFonts w:ascii="Times New Roman" w:eastAsia="仿宋_GB2312" w:hAnsi="Times New Roman" w:cs="Times New Roman"/>
          <w:bCs/>
          <w:sz w:val="32"/>
          <w:szCs w:val="32"/>
        </w:rPr>
        <w:t>研究内容：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开发适合于柔性制备工艺的高迁移率、高玻璃化转变温度和可溶可固化的低成本空穴传输材料，以及高稳定性的醇溶性电子传输材料，掌握柔性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OLED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显示载流子传输材料的批量合成技术，形成示范应用，推动显示产业高质量发展。</w:t>
      </w:r>
    </w:p>
    <w:p w:rsidR="007860C9" w:rsidRPr="0073252E" w:rsidRDefault="007860C9" w:rsidP="007860C9">
      <w:pPr>
        <w:pStyle w:val="a3"/>
        <w:spacing w:line="560" w:lineRule="exact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 w:rsidRPr="0073252E">
        <w:rPr>
          <w:rFonts w:ascii="Times New Roman" w:eastAsia="仿宋_GB2312" w:hAnsi="Times New Roman" w:cs="Times New Roman"/>
          <w:bCs/>
          <w:sz w:val="32"/>
          <w:szCs w:val="32"/>
        </w:rPr>
        <w:t>考核指标：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玻璃化温度＞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120</w:t>
      </w:r>
      <w:r w:rsidRPr="0073252E">
        <w:rPr>
          <w:rFonts w:ascii="宋体" w:eastAsia="宋体" w:hAnsi="宋体" w:cs="宋体" w:hint="eastAsia"/>
          <w:sz w:val="32"/>
          <w:szCs w:val="32"/>
        </w:rPr>
        <w:t>℃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；热稳定性＞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350</w:t>
      </w:r>
      <w:r w:rsidRPr="0073252E">
        <w:rPr>
          <w:rFonts w:ascii="宋体" w:eastAsia="宋体" w:hAnsi="宋体" w:cs="宋体" w:hint="eastAsia"/>
          <w:sz w:val="32"/>
          <w:szCs w:val="32"/>
        </w:rPr>
        <w:t>℃</w:t>
      </w:r>
      <w:r w:rsidRPr="0073252E">
        <w:rPr>
          <w:rFonts w:ascii="Times New Roman" w:eastAsia="仿宋" w:hAnsi="Times New Roman" w:cs="Times New Roman"/>
          <w:sz w:val="32"/>
          <w:szCs w:val="32"/>
        </w:rPr>
        <w:t>；本</w:t>
      </w:r>
      <w:r w:rsidRPr="0073252E">
        <w:rPr>
          <w:rFonts w:ascii="Times New Roman" w:eastAsia="仿宋" w:hAnsi="Times New Roman" w:cs="Times New Roman"/>
          <w:sz w:val="32"/>
          <w:szCs w:val="32"/>
        </w:rPr>
        <w:lastRenderedPageBreak/>
        <w:t>征空穴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迁移率（</w:t>
      </w:r>
      <w:proofErr w:type="spellStart"/>
      <w:r w:rsidRPr="0073252E">
        <w:rPr>
          <w:rFonts w:ascii="Times New Roman" w:eastAsia="仿宋_GB2312" w:hAnsi="Times New Roman" w:cs="Times New Roman"/>
          <w:i/>
          <w:sz w:val="32"/>
          <w:szCs w:val="32"/>
        </w:rPr>
        <w:t>μ</w:t>
      </w:r>
      <w:r w:rsidRPr="0073252E">
        <w:rPr>
          <w:rFonts w:ascii="Times New Roman" w:eastAsia="仿宋_GB2312" w:hAnsi="Times New Roman" w:cs="Times New Roman"/>
          <w:sz w:val="32"/>
          <w:szCs w:val="32"/>
          <w:vertAlign w:val="subscript"/>
        </w:rPr>
        <w:t>h</w:t>
      </w:r>
      <w:proofErr w:type="spellEnd"/>
      <w:r w:rsidRPr="0073252E">
        <w:rPr>
          <w:rFonts w:ascii="Times New Roman" w:eastAsia="仿宋_GB2312" w:hAnsi="Times New Roman" w:cs="Times New Roman"/>
          <w:sz w:val="32"/>
          <w:szCs w:val="32"/>
        </w:rPr>
        <w:t>）＞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10</w:t>
      </w:r>
      <w:r w:rsidRPr="0073252E">
        <w:rPr>
          <w:rFonts w:ascii="Times New Roman" w:eastAsia="仿宋_GB2312" w:hAnsi="Times New Roman" w:cs="Times New Roman"/>
          <w:sz w:val="32"/>
          <w:szCs w:val="32"/>
          <w:vertAlign w:val="superscript"/>
        </w:rPr>
        <w:t>-4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 xml:space="preserve"> cm</w:t>
      </w:r>
      <w:r w:rsidRPr="0073252E">
        <w:rPr>
          <w:rFonts w:ascii="Times New Roman" w:eastAsia="仿宋_GB2312" w:hAnsi="Times New Roman" w:cs="Times New Roman"/>
          <w:sz w:val="32"/>
          <w:szCs w:val="32"/>
          <w:vertAlign w:val="superscript"/>
        </w:rPr>
        <w:t>2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 xml:space="preserve"> /V·s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，本征电子迁移率（</w:t>
      </w:r>
      <w:proofErr w:type="spellStart"/>
      <w:r w:rsidRPr="0073252E">
        <w:rPr>
          <w:rFonts w:ascii="Times New Roman" w:eastAsia="仿宋_GB2312" w:hAnsi="Times New Roman" w:cs="Times New Roman"/>
          <w:i/>
          <w:sz w:val="32"/>
          <w:szCs w:val="32"/>
        </w:rPr>
        <w:t>μ</w:t>
      </w:r>
      <w:r w:rsidRPr="0073252E">
        <w:rPr>
          <w:rFonts w:ascii="Times New Roman" w:eastAsia="仿宋_GB2312" w:hAnsi="Times New Roman" w:cs="Times New Roman"/>
          <w:sz w:val="32"/>
          <w:szCs w:val="32"/>
          <w:vertAlign w:val="subscript"/>
        </w:rPr>
        <w:t>e</w:t>
      </w:r>
      <w:proofErr w:type="spellEnd"/>
      <w:r w:rsidRPr="0073252E">
        <w:rPr>
          <w:rFonts w:ascii="Times New Roman" w:eastAsia="仿宋_GB2312" w:hAnsi="Times New Roman" w:cs="Times New Roman"/>
          <w:sz w:val="32"/>
          <w:szCs w:val="32"/>
        </w:rPr>
        <w:t>）＞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10</w:t>
      </w:r>
      <w:r w:rsidRPr="0073252E">
        <w:rPr>
          <w:rFonts w:ascii="Times New Roman" w:eastAsia="仿宋_GB2312" w:hAnsi="Times New Roman" w:cs="Times New Roman"/>
          <w:sz w:val="32"/>
          <w:szCs w:val="32"/>
          <w:vertAlign w:val="superscript"/>
        </w:rPr>
        <w:t>-5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 xml:space="preserve"> cm</w:t>
      </w:r>
      <w:r w:rsidRPr="0073252E">
        <w:rPr>
          <w:rFonts w:ascii="Times New Roman" w:eastAsia="仿宋_GB2312" w:hAnsi="Times New Roman" w:cs="Times New Roman"/>
          <w:sz w:val="32"/>
          <w:szCs w:val="32"/>
          <w:vertAlign w:val="superscript"/>
        </w:rPr>
        <w:t>2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 xml:space="preserve"> /V·s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；纯度＞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99.9%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；红光、绿光以及蓝光器件效率分别超过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40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 xml:space="preserve">70 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和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10 cd/A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1000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尼特下半衰寿命分别超过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2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万、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2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万和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1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万小时。进入国家项目布局，孵化或衍生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OLED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显示材料生产企业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1-2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家，材料年产能力＞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3000kg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，在主流厂商得到应用。</w:t>
      </w:r>
    </w:p>
    <w:p w:rsidR="007860C9" w:rsidRDefault="007860C9" w:rsidP="007860C9">
      <w:pPr>
        <w:spacing w:line="560" w:lineRule="exact"/>
        <w:ind w:firstLineChars="200" w:firstLine="640"/>
        <w:rPr>
          <w:rFonts w:ascii="Times New Roman" w:eastAsia="楷体_GB2312" w:hAnsi="Times New Roman" w:cs="Times New Roman" w:hint="eastAsia"/>
          <w:color w:val="000000"/>
          <w:sz w:val="32"/>
        </w:rPr>
      </w:pPr>
      <w:r w:rsidRPr="0073252E">
        <w:rPr>
          <w:rFonts w:ascii="Times New Roman" w:eastAsia="楷体_GB2312" w:hAnsi="Times New Roman" w:cs="Times New Roman"/>
          <w:color w:val="000000"/>
          <w:sz w:val="32"/>
        </w:rPr>
        <w:t>（四）</w:t>
      </w:r>
      <w:r w:rsidRPr="0073252E">
        <w:rPr>
          <w:rFonts w:ascii="Times New Roman" w:eastAsia="楷体_GB2312" w:hAnsi="Times New Roman" w:cs="Times New Roman"/>
          <w:color w:val="000000"/>
          <w:sz w:val="32"/>
        </w:rPr>
        <w:t>12</w:t>
      </w:r>
      <w:r w:rsidRPr="0073252E">
        <w:rPr>
          <w:rFonts w:ascii="Times New Roman" w:eastAsia="楷体_GB2312" w:hAnsi="Times New Roman" w:cs="Times New Roman"/>
          <w:color w:val="000000"/>
          <w:sz w:val="32"/>
        </w:rPr>
        <w:t>英寸硅片开发及应用</w:t>
      </w:r>
    </w:p>
    <w:p w:rsidR="009A491D" w:rsidRPr="0073252E" w:rsidRDefault="009A491D" w:rsidP="007860C9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color w:val="000000"/>
          <w:sz w:val="32"/>
        </w:rPr>
      </w:pPr>
      <w:r w:rsidRPr="0073252E">
        <w:rPr>
          <w:sz w:val="32"/>
          <w:szCs w:val="24"/>
        </w:rPr>
        <w:t>须以企业为第一申报单位进行申报</w:t>
      </w:r>
      <w:bookmarkStart w:id="0" w:name="_GoBack"/>
      <w:bookmarkEnd w:id="0"/>
    </w:p>
    <w:p w:rsidR="007860C9" w:rsidRPr="0073252E" w:rsidRDefault="007860C9" w:rsidP="007860C9">
      <w:pPr>
        <w:pStyle w:val="a3"/>
        <w:spacing w:line="560" w:lineRule="exact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 w:rsidRPr="0073252E">
        <w:rPr>
          <w:rFonts w:ascii="Times New Roman" w:eastAsia="仿宋_GB2312" w:hAnsi="Times New Roman" w:cs="Times New Roman"/>
          <w:bCs/>
          <w:sz w:val="32"/>
          <w:szCs w:val="32"/>
        </w:rPr>
        <w:t>研究内容：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通过国际先进设备及自主研发的最优工艺，攻克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COP Free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（无晶体原生凹坑缺陷）难题，同时生产线引进整套自动化系统，产品形成示范应用，满足国内市场对高端大硅片日益增长的需求。</w:t>
      </w:r>
    </w:p>
    <w:p w:rsidR="007860C9" w:rsidRPr="0073252E" w:rsidRDefault="007860C9" w:rsidP="007860C9">
      <w:pPr>
        <w:pStyle w:val="a3"/>
        <w:spacing w:line="560" w:lineRule="exact"/>
        <w:ind w:firstLineChars="225" w:firstLine="720"/>
        <w:rPr>
          <w:rFonts w:ascii="Times New Roman" w:eastAsia="仿宋_GB2312" w:hAnsi="Times New Roman" w:cs="Times New Roman"/>
          <w:sz w:val="32"/>
          <w:szCs w:val="32"/>
        </w:rPr>
      </w:pPr>
      <w:r w:rsidRPr="0073252E">
        <w:rPr>
          <w:rFonts w:ascii="Times New Roman" w:eastAsia="仿宋_GB2312" w:hAnsi="Times New Roman" w:cs="Times New Roman"/>
          <w:bCs/>
          <w:sz w:val="32"/>
          <w:szCs w:val="32"/>
        </w:rPr>
        <w:t>考核指标：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硅片直径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12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英寸，晶向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&lt;100&gt;±1°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，厚度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775±25μm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，总厚度变化（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GBIR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≤1.5μm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，局部平整度（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SFQR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）（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26mm×8mm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PUA98%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≤28nm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，光散射缺陷（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LPD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）数目（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≥45nm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≤200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个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/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片。申报或授权发明专利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20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项以上，项目达产后年产能达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24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万片，在主流客户得到应用，年销售收入达到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8000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/</w:t>
      </w:r>
      <w:r w:rsidRPr="0073252E">
        <w:rPr>
          <w:rFonts w:ascii="Times New Roman" w:eastAsia="仿宋_GB2312" w:hAnsi="Times New Roman" w:cs="Times New Roman"/>
          <w:sz w:val="32"/>
          <w:szCs w:val="32"/>
        </w:rPr>
        <w:t>年。</w:t>
      </w:r>
    </w:p>
    <w:p w:rsidR="004476C2" w:rsidRPr="0073252E" w:rsidRDefault="007860C9" w:rsidP="007860C9">
      <w:pPr>
        <w:spacing w:line="560" w:lineRule="exact"/>
        <w:ind w:firstLineChars="250" w:firstLine="800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73252E">
        <w:rPr>
          <w:rFonts w:ascii="Times New Roman" w:eastAsia="黑体" w:hAnsi="Times New Roman" w:cs="Times New Roman"/>
          <w:color w:val="000000"/>
          <w:sz w:val="32"/>
          <w:szCs w:val="32"/>
        </w:rPr>
        <w:t>二、申报说明</w:t>
      </w:r>
    </w:p>
    <w:p w:rsidR="007860C9" w:rsidRPr="0073252E" w:rsidRDefault="00815549" w:rsidP="009A491D">
      <w:pPr>
        <w:pStyle w:val="a4"/>
        <w:adjustRightInd w:val="0"/>
        <w:snapToGrid w:val="0"/>
        <w:spacing w:line="560" w:lineRule="exact"/>
        <w:ind w:firstLineChars="200" w:firstLine="643"/>
        <w:rPr>
          <w:sz w:val="32"/>
          <w:szCs w:val="24"/>
        </w:rPr>
      </w:pPr>
      <w:r w:rsidRPr="009A491D">
        <w:rPr>
          <w:b/>
          <w:color w:val="C00000"/>
          <w:sz w:val="32"/>
          <w:szCs w:val="24"/>
        </w:rPr>
        <w:t>方向（一）、（三），</w:t>
      </w:r>
      <w:r w:rsidR="007860C9" w:rsidRPr="009A491D">
        <w:rPr>
          <w:b/>
          <w:color w:val="C00000"/>
          <w:sz w:val="32"/>
          <w:szCs w:val="24"/>
        </w:rPr>
        <w:t>科研院所、高等院校和企业均可申报</w:t>
      </w:r>
      <w:r w:rsidRPr="009A491D">
        <w:rPr>
          <w:b/>
          <w:color w:val="C00000"/>
          <w:sz w:val="32"/>
          <w:szCs w:val="24"/>
        </w:rPr>
        <w:t>，但以科研院所或高等院校为第一申报单位时须有本地企业参与</w:t>
      </w:r>
      <w:r w:rsidR="007860C9" w:rsidRPr="0073252E">
        <w:rPr>
          <w:sz w:val="32"/>
          <w:szCs w:val="24"/>
        </w:rPr>
        <w:t>；方向（二）、（四）</w:t>
      </w:r>
      <w:r w:rsidRPr="0073252E">
        <w:rPr>
          <w:sz w:val="32"/>
          <w:szCs w:val="24"/>
        </w:rPr>
        <w:t>，</w:t>
      </w:r>
      <w:r w:rsidR="007860C9" w:rsidRPr="0073252E">
        <w:rPr>
          <w:sz w:val="32"/>
          <w:szCs w:val="24"/>
        </w:rPr>
        <w:t>须以企业为第一</w:t>
      </w:r>
      <w:r w:rsidRPr="0073252E">
        <w:rPr>
          <w:sz w:val="32"/>
          <w:szCs w:val="24"/>
        </w:rPr>
        <w:t>申报</w:t>
      </w:r>
      <w:r w:rsidR="007860C9" w:rsidRPr="0073252E">
        <w:rPr>
          <w:sz w:val="32"/>
          <w:szCs w:val="24"/>
        </w:rPr>
        <w:t>单位进行申报。每家企业最多只能牵头申报一个项目。</w:t>
      </w:r>
    </w:p>
    <w:sectPr w:rsidR="007860C9" w:rsidRPr="00732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07"/>
    <w:rsid w:val="00014F07"/>
    <w:rsid w:val="004476C2"/>
    <w:rsid w:val="006B499E"/>
    <w:rsid w:val="0073252E"/>
    <w:rsid w:val="007860C9"/>
    <w:rsid w:val="00815549"/>
    <w:rsid w:val="009A491D"/>
    <w:rsid w:val="00D3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0C9"/>
    <w:pPr>
      <w:ind w:firstLineChars="200" w:firstLine="420"/>
    </w:pPr>
  </w:style>
  <w:style w:type="paragraph" w:styleId="a4">
    <w:name w:val="Body Text Indent"/>
    <w:basedOn w:val="a"/>
    <w:link w:val="Char"/>
    <w:unhideWhenUsed/>
    <w:rsid w:val="007860C9"/>
    <w:pPr>
      <w:ind w:firstLine="560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">
    <w:name w:val="正文文本缩进 Char"/>
    <w:basedOn w:val="a0"/>
    <w:link w:val="a4"/>
    <w:rsid w:val="007860C9"/>
    <w:rPr>
      <w:rFonts w:ascii="Times New Roman" w:eastAsia="仿宋_GB2312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0C9"/>
    <w:pPr>
      <w:ind w:firstLineChars="200" w:firstLine="420"/>
    </w:pPr>
  </w:style>
  <w:style w:type="paragraph" w:styleId="a4">
    <w:name w:val="Body Text Indent"/>
    <w:basedOn w:val="a"/>
    <w:link w:val="Char"/>
    <w:unhideWhenUsed/>
    <w:rsid w:val="007860C9"/>
    <w:pPr>
      <w:ind w:firstLine="560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">
    <w:name w:val="正文文本缩进 Char"/>
    <w:basedOn w:val="a0"/>
    <w:link w:val="a4"/>
    <w:rsid w:val="007860C9"/>
    <w:rPr>
      <w:rFonts w:ascii="Times New Roman" w:eastAsia="仿宋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1390</Characters>
  <Application>Microsoft Office Word</Application>
  <DocSecurity>0</DocSecurity>
  <Lines>11</Lines>
  <Paragraphs>3</Paragraphs>
  <ScaleCrop>false</ScaleCrop>
  <Company>Lenovo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高新处</dc:creator>
  <cp:lastModifiedBy>lenovo</cp:lastModifiedBy>
  <cp:revision>2</cp:revision>
  <dcterms:created xsi:type="dcterms:W3CDTF">2019-05-27T06:23:00Z</dcterms:created>
  <dcterms:modified xsi:type="dcterms:W3CDTF">2019-05-27T06:23:00Z</dcterms:modified>
</cp:coreProperties>
</file>